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9926D" w14:textId="2606566F" w:rsidR="001A472D" w:rsidRDefault="001A472D" w:rsidP="001A472D">
      <w:r>
        <w:t xml:space="preserve">December </w:t>
      </w:r>
      <w:r w:rsidR="00393AB9">
        <w:t>12</w:t>
      </w:r>
      <w:bookmarkStart w:id="0" w:name="_GoBack"/>
      <w:bookmarkEnd w:id="0"/>
      <w:r>
        <w:t xml:space="preserve">, 2018 </w:t>
      </w:r>
    </w:p>
    <w:p w14:paraId="69D33191" w14:textId="77777777" w:rsidR="001A472D" w:rsidRPr="00830C20" w:rsidRDefault="001A472D" w:rsidP="001A472D">
      <w:r w:rsidRPr="00830C20">
        <w:t>Director of the Information Collection Clearance Division</w:t>
      </w:r>
      <w:r w:rsidRPr="00830C20">
        <w:br/>
        <w:t>U.S. Department of Education</w:t>
      </w:r>
      <w:r w:rsidRPr="00830C20">
        <w:br/>
        <w:t>550 12th Street SW, PCP, Room 9088</w:t>
      </w:r>
      <w:r w:rsidRPr="00830C20">
        <w:br/>
        <w:t>Washington, DC 20202-0023</w:t>
      </w:r>
    </w:p>
    <w:p w14:paraId="66217CF0" w14:textId="77777777" w:rsidR="001A472D" w:rsidRPr="001A472D" w:rsidRDefault="001A472D" w:rsidP="001A472D">
      <w:pPr>
        <w:rPr>
          <w:b/>
        </w:rPr>
      </w:pPr>
      <w:r w:rsidRPr="001A472D">
        <w:rPr>
          <w:b/>
        </w:rPr>
        <w:t>RE: Carl D. Perkins Career and Technical Education Act State Plan (Docket ID: ED-2018-ICCD-0108)</w:t>
      </w:r>
    </w:p>
    <w:p w14:paraId="2DC2E74B" w14:textId="77777777" w:rsidR="001A472D" w:rsidRDefault="001A472D" w:rsidP="001A472D">
      <w:r>
        <w:t xml:space="preserve">Thank you for the opportunity to comment on the Information Collection Request (ICR) on the Guide for Submission of State Plans related to the </w:t>
      </w:r>
      <w:r>
        <w:rPr>
          <w:i/>
        </w:rPr>
        <w:t>Strengthening Career and Technical Education for the 21st Century Act</w:t>
      </w:r>
      <w:r>
        <w:t xml:space="preserve"> (Perkins V).</w:t>
      </w:r>
    </w:p>
    <w:p w14:paraId="292FF580" w14:textId="77777777" w:rsidR="001A472D" w:rsidRDefault="001A472D" w:rsidP="001A472D">
      <w:r w:rsidRPr="00830C20">
        <w:t>CLASP is a national, nonpartisan, anti-poverty nonprofit advancing policy solutions for low-income people. We develop practical yet visionary strategies for reducing poverty, promoting economic opportunity, and addressing barriers faced by people of color.</w:t>
      </w:r>
      <w:r>
        <w:t xml:space="preserve"> We believe high-quality career and technical education (CTE), particularly at the postsecondary level, can help low-income learners and learners of color move along career pathways into jobs with self- and family-sustaining wages.</w:t>
      </w:r>
    </w:p>
    <w:p w14:paraId="2FE9ED64" w14:textId="77777777" w:rsidR="001A472D" w:rsidRPr="001638F1" w:rsidRDefault="001A472D" w:rsidP="001A472D">
      <w:pPr>
        <w:rPr>
          <w:b/>
        </w:rPr>
      </w:pPr>
      <w:r w:rsidRPr="001638F1">
        <w:rPr>
          <w:b/>
        </w:rPr>
        <w:t>Importance of Postsecondary CTE</w:t>
      </w:r>
    </w:p>
    <w:p w14:paraId="3C44F084" w14:textId="77777777" w:rsidR="001A472D" w:rsidRPr="00CB1E4C" w:rsidRDefault="001A472D" w:rsidP="001A472D">
      <w:pPr>
        <w:rPr>
          <w:i/>
        </w:rPr>
      </w:pPr>
      <w:r>
        <w:rPr>
          <w:i/>
        </w:rPr>
        <w:t>‘Split of funds’</w:t>
      </w:r>
    </w:p>
    <w:p w14:paraId="3BCBD3F7" w14:textId="77777777" w:rsidR="001A472D" w:rsidRDefault="001A472D" w:rsidP="001A472D">
      <w:r>
        <w:t>CLASP strongly supports encouraging states to think anew about the secondary/postsecondary spilt in Perkins funding. The question in the opening letter--“What is the right ‘split of funds’ between secondary and postsecondary programs given today’s environment?”—rightly puts that issue front and center for states. In many states, postsecondary CTE is dramatically underfunded at a time when employers are calling for more workers with technical skills</w:t>
      </w:r>
      <w:bookmarkStart w:id="1" w:name="_Hlk531785969"/>
      <w:r>
        <w:t xml:space="preserve">. High-quality postsecondary CTE programs are incredibly important for “special populations” (including low-income adults) and people of color to move into in-demand jobs with good wages. </w:t>
      </w:r>
      <w:bookmarkEnd w:id="1"/>
      <w:r w:rsidRPr="001B22E2">
        <w:t>We encourage you to keep that critical question in the letter.</w:t>
      </w:r>
    </w:p>
    <w:p w14:paraId="158F86AC" w14:textId="77777777" w:rsidR="001A472D" w:rsidRPr="00CB1E4C" w:rsidRDefault="001A472D" w:rsidP="001A472D">
      <w:pPr>
        <w:rPr>
          <w:i/>
        </w:rPr>
      </w:pPr>
      <w:r>
        <w:rPr>
          <w:i/>
        </w:rPr>
        <w:t>WIOA Combined Plans</w:t>
      </w:r>
    </w:p>
    <w:p w14:paraId="3E2E2317" w14:textId="77777777" w:rsidR="001A472D" w:rsidRDefault="001A472D" w:rsidP="001A472D">
      <w:r>
        <w:t xml:space="preserve">We also strongly support the option for “WIOA Combined State Plan – </w:t>
      </w:r>
      <w:r>
        <w:rPr>
          <w:i/>
          <w:iCs/>
        </w:rPr>
        <w:t>Postsecondary Only</w:t>
      </w:r>
      <w:r>
        <w:t>” under “Special Features of a State Plan Submission” on page 11.  Perkins V emphasized alignment with WIOA, and this option will incentivize postsecondary CTE to engage directly with the workforce and adult education systems to align programs and systems to meet the needs of both postsecondary and adult education participants and the needs of local industries. This is especially relevant for special populations (including low-income adults) and people of color who may not have been well served in the traditional K-12 system or may be new arrivals to their communities. We urge you to encourage states to consider this plan option and reduce barriers for states to do so. For example, the Department should offer more guidance in the ICR on how a “WIOA Combined State Plan – Postsecondary Only” would work on the ground. We also recommend that ED clarify whether a state would have to do both a full Perkins State Plan and a WIOA Combined Plan—Postsecondary Only. We also support the option for WIOA Combined State Plan—</w:t>
      </w:r>
      <w:r>
        <w:rPr>
          <w:i/>
          <w:iCs/>
        </w:rPr>
        <w:t xml:space="preserve">Secondary and Postsecondary. </w:t>
      </w:r>
      <w:r>
        <w:t xml:space="preserve">In </w:t>
      </w:r>
      <w:r>
        <w:lastRenderedPageBreak/>
        <w:t xml:space="preserve">the instance that a state chooses this option, they should not be required to submit a second duplicative Perkins State Plan.  </w:t>
      </w:r>
    </w:p>
    <w:p w14:paraId="0B050273" w14:textId="77777777" w:rsidR="001A472D" w:rsidRPr="002C50BF" w:rsidRDefault="001A472D" w:rsidP="001A472D">
      <w:pPr>
        <w:rPr>
          <w:i/>
        </w:rPr>
      </w:pPr>
      <w:r>
        <w:rPr>
          <w:i/>
        </w:rPr>
        <w:t xml:space="preserve">Career and Technical Education Programs </w:t>
      </w:r>
      <w:r w:rsidRPr="002C50BF">
        <w:rPr>
          <w:i/>
          <w:u w:val="single"/>
        </w:rPr>
        <w:t>and</w:t>
      </w:r>
      <w:r>
        <w:rPr>
          <w:i/>
        </w:rPr>
        <w:t xml:space="preserve"> </w:t>
      </w:r>
      <w:r>
        <w:rPr>
          <w:i/>
        </w:rPr>
        <w:t>Programs of Study</w:t>
      </w:r>
    </w:p>
    <w:p w14:paraId="5A3BA821" w14:textId="77777777" w:rsidR="001A472D" w:rsidRDefault="001A472D" w:rsidP="001A472D">
      <w:r>
        <w:t xml:space="preserve">Throughout the document, “career and technical education programs” and “programs of study” are most often connected with the word “and,” but occasionally the terms </w:t>
      </w:r>
      <w:proofErr w:type="gramStart"/>
      <w:r>
        <w:t>are connected with</w:t>
      </w:r>
      <w:proofErr w:type="gramEnd"/>
      <w:r>
        <w:t xml:space="preserve"> the word “or.” It is very important that “and” be used through the document, so that states must focus not only on programs of study that originate in high school and proceed  to postsecondary, but also on postsecondary career and technical education programs that serve adults who are not coming straight from high school, often including low-income adults and people of color who may be less likely to proceed directly from high school to postsecondary education. This is also important for the lifelong learner who may have gone straight to employment or completed some postsecondary after high school and is now upskilling to stay relevant in the changing world of work.  Giving states the option to focus only on programs of study that originate in high school limits the ability of postsecondary CTE providers to offer upskilling opportunities to adults. The most important example is on page 14, under 2.a., where a state could address only a program of study and not career and technical education programs generally. We urge the department to change the word “or” to “and” on page 14, in the first line under 2.a. </w:t>
      </w:r>
    </w:p>
    <w:p w14:paraId="3DADD63A" w14:textId="77777777" w:rsidR="001A472D" w:rsidRPr="007B46D7" w:rsidRDefault="001A472D" w:rsidP="001A472D">
      <w:pPr>
        <w:rPr>
          <w:b/>
        </w:rPr>
      </w:pPr>
      <w:r>
        <w:rPr>
          <w:b/>
        </w:rPr>
        <w:t>Equity and the comprehensive l</w:t>
      </w:r>
      <w:r w:rsidRPr="007B46D7">
        <w:rPr>
          <w:b/>
        </w:rPr>
        <w:t xml:space="preserve">ocal needs assessment </w:t>
      </w:r>
    </w:p>
    <w:p w14:paraId="5100398C" w14:textId="77777777" w:rsidR="001A472D" w:rsidRDefault="001A472D" w:rsidP="001A472D">
      <w:r>
        <w:t xml:space="preserve">The comprehensive local needs assessments in Perkins V provides an important new opportunity for eligible agencies to address equity in their programs, especially for special populations. </w:t>
      </w:r>
      <w:r>
        <w:t>Therefore, s</w:t>
      </w:r>
      <w:r>
        <w:t xml:space="preserve">tates </w:t>
      </w:r>
      <w:r>
        <w:t xml:space="preserve">must </w:t>
      </w:r>
      <w:r>
        <w:t xml:space="preserve">focus on equity as they prepare their local needs assessment template. </w:t>
      </w:r>
      <w:r>
        <w:t xml:space="preserve">Unfortunately, the state plan template asks only that states include a copy of the local needs assessment template that eligible agencies will submit, without providing any additional information on the statutory requirements for this local assessment template. </w:t>
      </w:r>
    </w:p>
    <w:p w14:paraId="10AC9ED5" w14:textId="77777777" w:rsidR="001A472D" w:rsidRDefault="001A472D" w:rsidP="001A472D">
      <w:r>
        <w:t>We recommend the Department add a text box u</w:t>
      </w:r>
      <w:r>
        <w:t>nder</w:t>
      </w:r>
      <w:r>
        <w:t xml:space="preserve"> 2.</w:t>
      </w:r>
      <w:r>
        <w:t>g. on page 15</w:t>
      </w:r>
      <w:r>
        <w:t xml:space="preserve"> that contains the new comprehensive local needs assessment statutory language that can be found in Sec. 134(c) of the law. This will ensure that states, when submitting their plans, will carefully consider how to describe the Sec.134(c)(2)(A) requirement to evaluate gaps in performance for special populations and each subgroup in ESEA. The text box would</w:t>
      </w:r>
      <w:r>
        <w:t xml:space="preserve"> </w:t>
      </w:r>
      <w:r>
        <w:t>also include Sec. 134(c)(2)(E)(</w:t>
      </w:r>
      <w:proofErr w:type="spellStart"/>
      <w:r>
        <w:t>i</w:t>
      </w:r>
      <w:proofErr w:type="spellEnd"/>
      <w:r>
        <w:t xml:space="preserve">-iii) which requires states to describe strategies to overcome barriers that result in lower access to or performance for special populations, describe programs designed to help special populations meet performance goals, and describe activities to prepare special populations for good jobs that will lead to high-skill, high-wage, or in-demand occupations. </w:t>
      </w:r>
    </w:p>
    <w:p w14:paraId="4956053B" w14:textId="77777777" w:rsidR="001A472D" w:rsidRDefault="001A472D" w:rsidP="001A472D">
      <w:r>
        <w:t xml:space="preserve">Such a box would not be out of place. </w:t>
      </w:r>
      <w:r>
        <w:t xml:space="preserve">In other areas of the State Plan ICR, OCTAE has included text boxes that contain relevant statutory language that states should be aware of as they are drafting their plans, particularly those provisions are new under Perkins V. For example, text box 2 contains the </w:t>
      </w:r>
      <w:r>
        <w:t xml:space="preserve">new </w:t>
      </w:r>
      <w:r>
        <w:t>Perkins V definition of a CTE concentrator and text box 4 contains the new language on requirements for state determined performance levels (SDPLs).</w:t>
      </w:r>
    </w:p>
    <w:p w14:paraId="04137696" w14:textId="77777777" w:rsidR="001A472D" w:rsidRDefault="001A472D" w:rsidP="001A472D">
      <w:pPr>
        <w:rPr>
          <w:b/>
        </w:rPr>
      </w:pPr>
      <w:r w:rsidRPr="00A6251F">
        <w:rPr>
          <w:b/>
        </w:rPr>
        <w:t>Career Pathways</w:t>
      </w:r>
    </w:p>
    <w:p w14:paraId="79B91D46" w14:textId="77777777" w:rsidR="001A472D" w:rsidRDefault="001A472D" w:rsidP="001A472D">
      <w:r w:rsidRPr="000169E2">
        <w:t xml:space="preserve">Career pathways programs and systems were developed during the early 2000s to increase individual prosperity and regional economic competitiveness through aligned adult education, </w:t>
      </w:r>
      <w:r w:rsidRPr="000169E2">
        <w:lastRenderedPageBreak/>
        <w:t>community college, human services, and workforce development efforts. Adults with low incomes or low</w:t>
      </w:r>
      <w:r>
        <w:t>-</w:t>
      </w:r>
      <w:r w:rsidRPr="000169E2">
        <w:t xml:space="preserve">literacy levels are a target population </w:t>
      </w:r>
      <w:r>
        <w:t>of</w:t>
      </w:r>
      <w:r w:rsidRPr="000169E2">
        <w:t xml:space="preserve"> the career pathways movement. </w:t>
      </w:r>
      <w:r>
        <w:t>With the</w:t>
      </w:r>
      <w:r w:rsidRPr="000169E2">
        <w:t xml:space="preserve"> </w:t>
      </w:r>
      <w:r>
        <w:t xml:space="preserve">passage of </w:t>
      </w:r>
      <w:r w:rsidRPr="000169E2">
        <w:t xml:space="preserve">Perkins V, three federal laws </w:t>
      </w:r>
      <w:r>
        <w:t xml:space="preserve">now </w:t>
      </w:r>
      <w:r w:rsidRPr="000169E2">
        <w:t xml:space="preserve">include a shared definition of career pathways: Perkins V, the Workforce Innovation and Opportunity Act (WIOA), and the Higher Education Act (HEA). </w:t>
      </w:r>
    </w:p>
    <w:p w14:paraId="4DA4FCE4" w14:textId="77777777" w:rsidR="001A472D" w:rsidRDefault="001A472D" w:rsidP="001A472D">
      <w:r w:rsidRPr="000169E2">
        <w:t xml:space="preserve">Perkins V </w:t>
      </w:r>
      <w:r>
        <w:t>defines career pathways as</w:t>
      </w:r>
      <w:r w:rsidRPr="000169E2">
        <w:t xml:space="preserve"> </w:t>
      </w:r>
      <w:r>
        <w:t>“</w:t>
      </w:r>
      <w:r w:rsidRPr="000169E2">
        <w:t>the term in section 3 of the Workforce Innovation and Opportunity Act (29 U.S.C. 3102).”</w:t>
      </w:r>
      <w:r>
        <w:t>, which reads:</w:t>
      </w:r>
      <w:r w:rsidDel="00F33750">
        <w:t xml:space="preserve"> </w:t>
      </w:r>
      <w:r w:rsidRPr="000169E2">
        <w:t xml:space="preserve">(7) CAREER </w:t>
      </w:r>
      <w:proofErr w:type="gramStart"/>
      <w:r w:rsidRPr="000169E2">
        <w:t>PATHWAY.—</w:t>
      </w:r>
      <w:proofErr w:type="gramEnd"/>
      <w:r w:rsidRPr="000169E2">
        <w:t xml:space="preserve">The term ‘‘career pathway’’ means a combination of rigorous and high-quality education, training, and other services that— </w:t>
      </w:r>
    </w:p>
    <w:p w14:paraId="4D869769" w14:textId="77777777" w:rsidR="001A472D" w:rsidRDefault="001A472D" w:rsidP="001A472D">
      <w:pPr>
        <w:ind w:left="720"/>
      </w:pPr>
      <w:r w:rsidRPr="000169E2">
        <w:t xml:space="preserve">(A) aligns with the skill needs of industries in the economy of the State or regional economy involved; </w:t>
      </w:r>
    </w:p>
    <w:p w14:paraId="3F6B7627" w14:textId="77777777" w:rsidR="001A472D" w:rsidRDefault="001A472D" w:rsidP="001A472D">
      <w:pPr>
        <w:ind w:left="720"/>
      </w:pPr>
      <w:r w:rsidRPr="000169E2">
        <w:t>(B) prepares an individual to be successful in any of a full range of secondary or postsecondary education options, including apprenticeships registered under the Act of August 16, 1937</w:t>
      </w:r>
      <w:r>
        <w:t>…</w:t>
      </w:r>
    </w:p>
    <w:p w14:paraId="18A09C4C" w14:textId="77777777" w:rsidR="001A472D" w:rsidRDefault="001A472D" w:rsidP="001A472D">
      <w:pPr>
        <w:ind w:left="720"/>
      </w:pPr>
      <w:r w:rsidRPr="000169E2">
        <w:t xml:space="preserve">(C) includes counseling to support an individual in achieving the individual’s education and career goals; </w:t>
      </w:r>
    </w:p>
    <w:p w14:paraId="6498D930" w14:textId="77777777" w:rsidR="001A472D" w:rsidRDefault="001A472D" w:rsidP="001A472D">
      <w:pPr>
        <w:ind w:left="720"/>
      </w:pPr>
      <w:r w:rsidRPr="000169E2">
        <w:t xml:space="preserve">(D) includes, as appropriate, education offered concurrently with and in the same context as workforce preparation activities and training for a specific occupation or occupational cluster; </w:t>
      </w:r>
    </w:p>
    <w:p w14:paraId="56D0EE83" w14:textId="77777777" w:rsidR="001A472D" w:rsidRDefault="001A472D" w:rsidP="001A472D">
      <w:pPr>
        <w:ind w:left="720"/>
      </w:pPr>
      <w:r w:rsidRPr="000169E2">
        <w:t xml:space="preserve">(E) organizes education, training, and other services to meet the </w:t>
      </w:r>
      <w:proofErr w:type="gramStart"/>
      <w:r w:rsidRPr="000169E2">
        <w:t>particular needs</w:t>
      </w:r>
      <w:proofErr w:type="gramEnd"/>
      <w:r w:rsidRPr="000169E2">
        <w:t xml:space="preserve"> of an individual in a manner that accelerates the educational and career advancement of the individual to the extent practicable; </w:t>
      </w:r>
    </w:p>
    <w:p w14:paraId="285AFCE5" w14:textId="77777777" w:rsidR="001A472D" w:rsidRDefault="001A472D" w:rsidP="001A472D">
      <w:pPr>
        <w:ind w:left="720"/>
      </w:pPr>
      <w:r w:rsidRPr="000169E2">
        <w:t xml:space="preserve">(F) enables an individual to attain a secondary school diploma or its recognized equivalent, and at least 1 recognized postsecondary credential; and </w:t>
      </w:r>
    </w:p>
    <w:p w14:paraId="45A4A6D9" w14:textId="77777777" w:rsidR="001A472D" w:rsidRDefault="001A472D" w:rsidP="001A472D">
      <w:pPr>
        <w:ind w:left="720"/>
      </w:pPr>
      <w:r w:rsidRPr="000169E2">
        <w:t>(G) helps an individual enter or advance within a specific occupation or occupational cluster.</w:t>
      </w:r>
    </w:p>
    <w:p w14:paraId="58A19B83" w14:textId="77777777" w:rsidR="001A472D" w:rsidRDefault="001A472D" w:rsidP="001A472D">
      <w:r>
        <w:t xml:space="preserve">The term ‘career pathways’ is often used as a general term with many different meanings depending on the context. Now that Perkins V has adopted the statutory definition under WIOA, it is important that OCTAE and the CTE community use the term (and more importantly the policy tool) as Congress clearly intended. </w:t>
      </w:r>
    </w:p>
    <w:p w14:paraId="4AD7D1C6" w14:textId="77777777" w:rsidR="001A472D" w:rsidRDefault="001A472D" w:rsidP="001A472D">
      <w:r>
        <w:t xml:space="preserve">On page 14 under </w:t>
      </w:r>
      <w:proofErr w:type="gramStart"/>
      <w:r>
        <w:t>2.c.</w:t>
      </w:r>
      <w:proofErr w:type="gramEnd"/>
      <w:r>
        <w:t xml:space="preserve">1. of the draft state plan template reads in part: “…career pathways (including career exploration, work-based learning opportunities, early college high schools, and dual or concurrent enrollment program opportunities) …”. This language appears to imply that the department would consider career exploration or work-based learning opportunities, on their own, to be career pathways. This is not the case, although certainly either could serve as a critical part of a career pathway. We recommend deleting the incorrect examples between parentheses.  </w:t>
      </w:r>
    </w:p>
    <w:p w14:paraId="549762F5" w14:textId="77777777" w:rsidR="001A472D" w:rsidRDefault="001A472D" w:rsidP="001A472D">
      <w:r>
        <w:t xml:space="preserve">Because Perkins V defines career pathways for the first time, the department should use its authority to educate and provide information to states on career pathways. Perkins V and the draft state plan template regularly mention it in the same context as “programs of study,” either separated by “or” or “and.” While the two have similarities, they are not the same. We recommend OCTAE add the statutory definition of career pathways in the state plan in a text box, because it is </w:t>
      </w:r>
      <w:r>
        <w:lastRenderedPageBreak/>
        <w:t>new in Perkins V and because it is included in Perkins V only by reference so many CTE leaders will be unfamiliar with it. In addition, OCTAE should provide guidance and technical assistance on career pathways, especially as related to two important provisions in the draft State Plan Template below, which we strongly support and encourage you to keep in the final plan:</w:t>
      </w:r>
    </w:p>
    <w:p w14:paraId="4EBC3C87" w14:textId="77777777" w:rsidR="001A472D" w:rsidRDefault="001A472D" w:rsidP="001A472D">
      <w:pPr>
        <w:pStyle w:val="ListParagraph"/>
        <w:widowControl/>
        <w:numPr>
          <w:ilvl w:val="0"/>
          <w:numId w:val="31"/>
        </w:numPr>
        <w:suppressAutoHyphens w:val="0"/>
        <w:autoSpaceDE/>
        <w:autoSpaceDN/>
        <w:adjustRightInd/>
        <w:spacing w:after="200" w:line="276" w:lineRule="auto"/>
        <w:textAlignment w:val="auto"/>
      </w:pPr>
      <w:r w:rsidRPr="00202401">
        <w:t>2.</w:t>
      </w:r>
      <w:proofErr w:type="gramStart"/>
      <w:r w:rsidRPr="00202401">
        <w:t>c.ii.</w:t>
      </w:r>
      <w:proofErr w:type="gramEnd"/>
      <w:r w:rsidRPr="00202401">
        <w:t xml:space="preserve"> Describe how the eligible agency will</w:t>
      </w:r>
      <w:r>
        <w:t xml:space="preserve"> </w:t>
      </w:r>
      <w:r w:rsidRPr="00202401">
        <w:t>“facilitate collaboration among eligible recipients in the development and coordination of career and technical education programs and programs of study and career pathways that include multiple entry and exit points;”</w:t>
      </w:r>
    </w:p>
    <w:p w14:paraId="266AD39F" w14:textId="77777777" w:rsidR="001A472D" w:rsidRDefault="001A472D" w:rsidP="001A472D">
      <w:pPr>
        <w:pStyle w:val="ListParagraph"/>
        <w:widowControl/>
        <w:numPr>
          <w:ilvl w:val="0"/>
          <w:numId w:val="31"/>
        </w:numPr>
        <w:suppressAutoHyphens w:val="0"/>
        <w:autoSpaceDE/>
        <w:autoSpaceDN/>
        <w:adjustRightInd/>
        <w:spacing w:after="200" w:line="276" w:lineRule="auto"/>
        <w:textAlignment w:val="auto"/>
      </w:pPr>
      <w:r w:rsidRPr="00202401">
        <w:t>2.c.v. Describe how the eligible agency will—"coordinate with the State board to support the local development of career pathways and articulate processes by which career pathways will be developed by local workforce development boards, as appropriate”</w:t>
      </w:r>
    </w:p>
    <w:p w14:paraId="6B4546A9" w14:textId="77777777" w:rsidR="001A472D" w:rsidRDefault="001A472D" w:rsidP="001A472D">
      <w:r>
        <w:t xml:space="preserve">These provisions will help states move toward alignment between programs of study and career pathways. We believe programs and study and career pathways should be aligned to provide rigorous on-ramps to meaningful postsecondary education and training for both recent high school graduates and adults. Ideally, career pathways and programs of study in the same sector would leverage shared employer partnerships and offer the same labor-market valued credentials most relevant for their local economies. CLASP has deep expertise in career pathways programs, systems, and policies and is willing to offer advise the department on how to inform states about career pathways and the importance of alignment with programs of study. </w:t>
      </w:r>
    </w:p>
    <w:p w14:paraId="5BB4C1AC" w14:textId="77777777" w:rsidR="001A472D" w:rsidRDefault="001A472D" w:rsidP="001A472D">
      <w:r>
        <w:t>Thank you again for the opportunity to provide comments. Please contact me if you have any questions.</w:t>
      </w:r>
    </w:p>
    <w:p w14:paraId="4076BC20" w14:textId="77777777" w:rsidR="001A472D" w:rsidRDefault="001A472D" w:rsidP="001A472D">
      <w:r>
        <w:t>Sincerely,</w:t>
      </w:r>
    </w:p>
    <w:p w14:paraId="4968C55D" w14:textId="7C711499" w:rsidR="001A472D" w:rsidRPr="00F2174A" w:rsidRDefault="001A472D" w:rsidP="001A472D">
      <w:pPr>
        <w:spacing w:before="240"/>
        <w:rPr>
          <w:rFonts w:ascii="Myriad Pro" w:hAnsi="Myriad Pro"/>
        </w:rPr>
      </w:pPr>
      <w:r>
        <w:t>Anna Cielinski</w:t>
      </w:r>
      <w:r>
        <w:br/>
        <w:t>Senior Policy Analyst</w:t>
      </w:r>
      <w:r>
        <w:br/>
      </w:r>
      <w:r w:rsidRPr="001A472D">
        <w:t>Center for Law and Social Policy (CLASP)</w:t>
      </w:r>
      <w:r w:rsidRPr="001A472D">
        <w:br/>
      </w:r>
      <w:r w:rsidRPr="001A472D">
        <w:t>acielinski@clasp.org</w:t>
      </w:r>
    </w:p>
    <w:p w14:paraId="401CD91E" w14:textId="3943CE8E" w:rsidR="00F2174A" w:rsidRPr="00F2174A" w:rsidRDefault="00F2174A" w:rsidP="00284325">
      <w:pPr>
        <w:rPr>
          <w:rFonts w:ascii="Myriad Pro" w:hAnsi="Myriad Pro"/>
        </w:rPr>
      </w:pPr>
    </w:p>
    <w:sectPr w:rsidR="00F2174A" w:rsidRPr="00F2174A" w:rsidSect="003E486B">
      <w:headerReference w:type="even" r:id="rId8"/>
      <w:headerReference w:type="default" r:id="rId9"/>
      <w:footerReference w:type="default" r:id="rId10"/>
      <w:headerReference w:type="first" r:id="rId11"/>
      <w:footerReference w:type="first" r:id="rId12"/>
      <w:endnotePr>
        <w:numFmt w:val="decimal"/>
      </w:endnotePr>
      <w:pgSz w:w="12240" w:h="15840"/>
      <w:pgMar w:top="1440" w:right="1440" w:bottom="1440" w:left="1440" w:header="0" w:footer="576" w:gutter="0"/>
      <w:pgNumType w:start="1"/>
      <w:cols w:space="720"/>
      <w:noEndnote/>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FAB00" w14:textId="77777777" w:rsidR="00AD16BC" w:rsidRDefault="00AD16BC" w:rsidP="00284325"/>
  </w:endnote>
  <w:endnote w:type="continuationSeparator" w:id="0">
    <w:p w14:paraId="5840E4AE" w14:textId="77777777" w:rsidR="00AD16BC" w:rsidRDefault="00AD16BC" w:rsidP="00284325"/>
  </w:endnote>
  <w:endnote w:type="continuationNotice" w:id="1">
    <w:p w14:paraId="0D9F6D4C" w14:textId="77777777" w:rsidR="00AD16BC" w:rsidRDefault="00AD16BC" w:rsidP="00284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7153DB5-E5FC-44C4-A1DB-823E1F0BEF0C}"/>
  </w:font>
  <w:font w:name="Times New Roman">
    <w:panose1 w:val="02020603050405020304"/>
    <w:charset w:val="00"/>
    <w:family w:val="roman"/>
    <w:pitch w:val="variable"/>
    <w:sig w:usb0="E0002AFF" w:usb1="C0007841" w:usb2="00000009" w:usb3="00000000" w:csb0="000001FF" w:csb1="00000000"/>
    <w:embedRegular r:id="rId2" w:fontKey="{BF2BCF01-0F7C-46EC-9B17-E81E9EC0A285}"/>
    <w:embedBold r:id="rId3" w:fontKey="{54BC9620-25DE-4B31-87CE-42A8903CC999}"/>
    <w:embedItalic r:id="rId4" w:fontKey="{838F19AC-BC2E-40F3-A053-9F03939F6863}"/>
    <w:embedBoldItalic r:id="rId5" w:fontKey="{A6346756-CE7B-46BA-9520-270ADEE56AE2}"/>
  </w:font>
  <w:font w:name="Courier New">
    <w:panose1 w:val="02070309020205020404"/>
    <w:charset w:val="00"/>
    <w:family w:val="modern"/>
    <w:pitch w:val="fixed"/>
    <w:sig w:usb0="E0002AFF" w:usb1="C0007843" w:usb2="00000009" w:usb3="00000000" w:csb0="000001FF" w:csb1="00000000"/>
    <w:embedRegular r:id="rId6" w:fontKey="{3D20FC12-60FC-4BD0-8A34-7D6241069B38}"/>
  </w:font>
  <w:font w:name="Wingdings">
    <w:panose1 w:val="05000000000000000000"/>
    <w:charset w:val="02"/>
    <w:family w:val="auto"/>
    <w:pitch w:val="variable"/>
    <w:sig w:usb0="00000000" w:usb1="10000000" w:usb2="00000000" w:usb3="00000000" w:csb0="80000000" w:csb1="00000000"/>
    <w:embedRegular r:id="rId7" w:fontKey="{AABF9E44-E2BD-42BD-8D47-42505355772B}"/>
  </w:font>
  <w:font w:name="Courier">
    <w:altName w:val="Courier New"/>
    <w:panose1 w:val="02070409020205020404"/>
    <w:charset w:val="00"/>
    <w:family w:val="modern"/>
    <w:notTrueType/>
    <w:pitch w:val="fixed"/>
    <w:sig w:usb0="00000003" w:usb1="00000000" w:usb2="00000000" w:usb3="00000000" w:csb0="00000001" w:csb1="00000000"/>
  </w:font>
  <w:font w:name="Proxima Nova Bold">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8" w:fontKey="{524B7930-4AAA-47FD-B585-8805FD3409C6}"/>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5701A9FA-2881-4117-B4C4-520572771123}"/>
    <w:embedBold r:id="rId10" w:fontKey="{C59AC811-FAAC-4F36-B676-B3DEC6CEC4DA}"/>
    <w:embedItalic r:id="rId11" w:fontKey="{946D2F42-5C3F-4912-8F4E-F6FAC1A120DF}"/>
    <w:embedBoldItalic r:id="rId12" w:fontKey="{46D78625-2DFC-438D-BAAF-BE8BA23B008C}"/>
  </w:font>
  <w:font w:name="Myriad Pro">
    <w:altName w:val="Arial"/>
    <w:panose1 w:val="00000000000000000000"/>
    <w:charset w:val="00"/>
    <w:family w:val="swiss"/>
    <w:notTrueType/>
    <w:pitch w:val="variable"/>
    <w:sig w:usb0="20000287" w:usb1="00000001" w:usb2="00000000" w:usb3="00000000" w:csb0="0000019F" w:csb1="00000000"/>
  </w:font>
  <w:font w:name="ProximaNova-Bold">
    <w:altName w:val="Calibri"/>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ProximaNova-LightIt">
    <w:altName w:val="Courier New"/>
    <w:panose1 w:val="00000000000000000000"/>
    <w:charset w:val="4D"/>
    <w:family w:val="auto"/>
    <w:notTrueType/>
    <w:pitch w:val="default"/>
    <w:sig w:usb0="00000003" w:usb1="00000000" w:usb2="00000000" w:usb3="00000000" w:csb0="00000001" w:csb1="00000000"/>
  </w:font>
  <w:font w:name="Lucida Grande">
    <w:altName w:val="Segoe UI Semilight"/>
    <w:charset w:val="00"/>
    <w:family w:val="auto"/>
    <w:pitch w:val="variable"/>
    <w:sig w:usb0="E1000AEF" w:usb1="5000A1FF" w:usb2="00000000" w:usb3="00000000" w:csb0="000001BF" w:csb1="00000000"/>
  </w:font>
  <w:font w:name="MingLiU-ExtB">
    <w:panose1 w:val="02020500000000000000"/>
    <w:charset w:val="88"/>
    <w:family w:val="roman"/>
    <w:pitch w:val="variable"/>
    <w:sig w:usb0="8000002F" w:usb1="0A080008" w:usb2="00000010" w:usb3="00000000" w:csb0="00100001" w:csb1="00000000"/>
  </w:font>
  <w:font w:name="MinionPro-Regular">
    <w:altName w:val="Minion Pro It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9DF3F" w14:textId="77777777" w:rsidR="00F2174A" w:rsidRDefault="00F2174A" w:rsidP="00F2174A">
    <w:pPr>
      <w:pStyle w:val="Footer"/>
      <w:jc w:val="left"/>
      <w:rPr>
        <w:rFonts w:ascii="Calibri" w:hAnsi="Calibri" w:cs="Calibri"/>
        <w:color w:val="014868"/>
        <w:sz w:val="22"/>
        <w:szCs w:val="22"/>
      </w:rPr>
    </w:pPr>
    <w:r w:rsidRPr="00F903C1">
      <w:rPr>
        <w:rFonts w:ascii="Calibri" w:hAnsi="Calibri" w:cs="Calibri"/>
        <w:noProof/>
        <w:color w:val="E08C05"/>
        <w:sz w:val="22"/>
        <w:szCs w:val="22"/>
        <w:lang w:val="en-US" w:eastAsia="en-US"/>
      </w:rPr>
      <mc:AlternateContent>
        <mc:Choice Requires="wps">
          <w:drawing>
            <wp:anchor distT="0" distB="0" distL="114300" distR="114300" simplePos="0" relativeHeight="251669504" behindDoc="0" locked="0" layoutInCell="1" allowOverlap="1" wp14:anchorId="2611648A" wp14:editId="044ACB57">
              <wp:simplePos x="0" y="0"/>
              <wp:positionH relativeFrom="column">
                <wp:posOffset>-640080</wp:posOffset>
              </wp:positionH>
              <wp:positionV relativeFrom="paragraph">
                <wp:posOffset>47321</wp:posOffset>
              </wp:positionV>
              <wp:extent cx="7845425" cy="17780"/>
              <wp:effectExtent l="0" t="0" r="3175"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5425" cy="17780"/>
                      </a:xfrm>
                      <a:prstGeom prst="rect">
                        <a:avLst/>
                      </a:prstGeom>
                      <a:solidFill>
                        <a:srgbClr val="E08C0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EBFD" id="Rectangle 6" o:spid="_x0000_s1026" style="position:absolute;margin-left:-50.4pt;margin-top:3.75pt;width:617.75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" fillcolor="#e08c05" stroked="f"/>
          </w:pict>
        </mc:Fallback>
      </mc:AlternateContent>
    </w:r>
  </w:p>
  <w:p w14:paraId="7276312D" w14:textId="77777777" w:rsidR="00F2174A" w:rsidRPr="00F903C1" w:rsidRDefault="00F2174A" w:rsidP="00F2174A">
    <w:pPr>
      <w:pStyle w:val="Footer"/>
      <w:jc w:val="center"/>
      <w:rPr>
        <w:rFonts w:ascii="Calibri" w:hAnsi="Calibri" w:cs="Calibri"/>
        <w:color w:val="E08C05"/>
        <w:sz w:val="22"/>
        <w:szCs w:val="22"/>
      </w:rPr>
    </w:pPr>
    <w:r w:rsidRPr="00F903C1">
      <w:rPr>
        <w:rFonts w:ascii="Calibri" w:hAnsi="Calibri" w:cs="Calibri"/>
        <w:color w:val="014868"/>
        <w:sz w:val="22"/>
        <w:szCs w:val="22"/>
      </w:rPr>
      <w:t>1200 18th Street NW, Suite 200 • Washington, D.C. 20036 • (202) 90</w:t>
    </w:r>
    <w:r>
      <w:rPr>
        <w:rFonts w:ascii="Calibri" w:hAnsi="Calibri" w:cs="Calibri"/>
        <w:color w:val="014868"/>
        <w:sz w:val="22"/>
        <w:szCs w:val="22"/>
      </w:rPr>
      <w:t>6-</w:t>
    </w:r>
    <w:r w:rsidRPr="00F903C1">
      <w:rPr>
        <w:rFonts w:ascii="Calibri" w:hAnsi="Calibri" w:cs="Calibri"/>
        <w:color w:val="014868"/>
        <w:sz w:val="22"/>
        <w:szCs w:val="22"/>
      </w:rPr>
      <w:t>8000 • www.clasp.org</w:t>
    </w:r>
  </w:p>
  <w:p w14:paraId="3B497B84" w14:textId="77777777" w:rsidR="00E17020" w:rsidRPr="00F8152C" w:rsidRDefault="00E17020" w:rsidP="00E31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145D" w14:textId="77777777" w:rsidR="00F903C1" w:rsidRDefault="00F903C1" w:rsidP="00F903C1">
    <w:pPr>
      <w:pStyle w:val="Footer"/>
      <w:jc w:val="left"/>
      <w:rPr>
        <w:rFonts w:ascii="Calibri" w:hAnsi="Calibri" w:cs="Calibri"/>
        <w:color w:val="014868"/>
        <w:sz w:val="22"/>
        <w:szCs w:val="22"/>
      </w:rPr>
    </w:pPr>
    <w:r w:rsidRPr="00F903C1">
      <w:rPr>
        <w:rFonts w:ascii="Calibri" w:hAnsi="Calibri" w:cs="Calibri"/>
        <w:noProof/>
        <w:color w:val="E08C05"/>
        <w:sz w:val="22"/>
        <w:szCs w:val="22"/>
        <w:lang w:val="en-US" w:eastAsia="en-US"/>
      </w:rPr>
      <mc:AlternateContent>
        <mc:Choice Requires="wps">
          <w:drawing>
            <wp:anchor distT="0" distB="0" distL="114300" distR="114300" simplePos="0" relativeHeight="251667456" behindDoc="0" locked="0" layoutInCell="1" allowOverlap="1" wp14:anchorId="13DE1AE8" wp14:editId="4ABAECE7">
              <wp:simplePos x="0" y="0"/>
              <wp:positionH relativeFrom="column">
                <wp:posOffset>-640080</wp:posOffset>
              </wp:positionH>
              <wp:positionV relativeFrom="paragraph">
                <wp:posOffset>47321</wp:posOffset>
              </wp:positionV>
              <wp:extent cx="7845425" cy="17780"/>
              <wp:effectExtent l="0" t="0" r="3175"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5425" cy="17780"/>
                      </a:xfrm>
                      <a:prstGeom prst="rect">
                        <a:avLst/>
                      </a:prstGeom>
                      <a:solidFill>
                        <a:srgbClr val="E08C0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797B" id="Rectangle 4" o:spid="_x0000_s1026" style="position:absolute;margin-left:-50.4pt;margin-top:3.75pt;width:617.7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" fillcolor="#e08c05" stroked="f"/>
          </w:pict>
        </mc:Fallback>
      </mc:AlternateContent>
    </w:r>
  </w:p>
  <w:p w14:paraId="78550874" w14:textId="77777777" w:rsidR="00217E74" w:rsidRPr="00F903C1" w:rsidRDefault="00217E74" w:rsidP="00217E74">
    <w:pPr>
      <w:pStyle w:val="Footer"/>
      <w:jc w:val="center"/>
      <w:rPr>
        <w:rFonts w:ascii="Calibri" w:hAnsi="Calibri" w:cs="Calibri"/>
        <w:color w:val="E08C05"/>
        <w:sz w:val="22"/>
        <w:szCs w:val="22"/>
      </w:rPr>
    </w:pPr>
    <w:r w:rsidRPr="00F903C1">
      <w:rPr>
        <w:rFonts w:ascii="Calibri" w:hAnsi="Calibri" w:cs="Calibri"/>
        <w:color w:val="014868"/>
        <w:sz w:val="22"/>
        <w:szCs w:val="22"/>
      </w:rPr>
      <w:t>1200 18th Street NW, Suite 200 • Washington, D.C. 20036 • (202) 90</w:t>
    </w:r>
    <w:r w:rsidR="00F903C1">
      <w:rPr>
        <w:rFonts w:ascii="Calibri" w:hAnsi="Calibri" w:cs="Calibri"/>
        <w:color w:val="014868"/>
        <w:sz w:val="22"/>
        <w:szCs w:val="22"/>
      </w:rPr>
      <w:t>6-</w:t>
    </w:r>
    <w:r w:rsidRPr="00F903C1">
      <w:rPr>
        <w:rFonts w:ascii="Calibri" w:hAnsi="Calibri" w:cs="Calibri"/>
        <w:color w:val="014868"/>
        <w:sz w:val="22"/>
        <w:szCs w:val="22"/>
      </w:rPr>
      <w:t>8000 • www.clasp.org</w:t>
    </w:r>
  </w:p>
  <w:p w14:paraId="7132392F" w14:textId="77777777" w:rsidR="00217E74" w:rsidRDefault="0021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C805F" w14:textId="77777777" w:rsidR="00AD16BC" w:rsidRDefault="00AD16BC" w:rsidP="00284325">
      <w:r>
        <w:separator/>
      </w:r>
    </w:p>
  </w:footnote>
  <w:footnote w:type="continuationSeparator" w:id="0">
    <w:p w14:paraId="00329FF5" w14:textId="77777777" w:rsidR="00AD16BC" w:rsidRDefault="00AD16BC" w:rsidP="00284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A9D0" w14:textId="77777777" w:rsidR="00EC25C6" w:rsidRPr="00EF3CF4" w:rsidRDefault="00EC25C6" w:rsidP="0024743F">
    <w:pPr>
      <w:pStyle w:val="Footer"/>
      <w:tabs>
        <w:tab w:val="left" w:pos="4402"/>
      </w:tabs>
      <w:jc w:val="left"/>
      <w:rPr>
        <w:rFonts w:ascii="Myriad Pro" w:hAnsi="Myriad Pro"/>
        <w:color w:val="FFFFFF" w:themeColor="background1"/>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491211"/>
      <w:docPartObj>
        <w:docPartGallery w:val="Page Numbers (Top of Page)"/>
        <w:docPartUnique/>
      </w:docPartObj>
    </w:sdtPr>
    <w:sdtEndPr/>
    <w:sdtContent>
      <w:p w14:paraId="18407986" w14:textId="77777777" w:rsidR="00561B9D" w:rsidRPr="005E40D7" w:rsidRDefault="00561B9D" w:rsidP="00284325">
        <w:pPr>
          <w:pStyle w:val="Header"/>
        </w:pPr>
      </w:p>
      <w:p w14:paraId="7C82BEA7" w14:textId="77777777" w:rsidR="00E17020" w:rsidRPr="005E40D7" w:rsidRDefault="00AD16BC" w:rsidP="00284325">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92D9" w14:textId="77777777" w:rsidR="00390020" w:rsidRDefault="00284325" w:rsidP="00284325">
    <w:r w:rsidRPr="00284325">
      <w:rPr>
        <w:noProof/>
      </w:rPr>
      <mc:AlternateContent>
        <mc:Choice Requires="wps">
          <w:drawing>
            <wp:anchor distT="0" distB="0" distL="114300" distR="114300" simplePos="0" relativeHeight="251666432" behindDoc="0" locked="0" layoutInCell="1" allowOverlap="1" wp14:anchorId="44678DD7" wp14:editId="53B944A6">
              <wp:simplePos x="0" y="0"/>
              <wp:positionH relativeFrom="column">
                <wp:posOffset>-1410335</wp:posOffset>
              </wp:positionH>
              <wp:positionV relativeFrom="paragraph">
                <wp:posOffset>2844</wp:posOffset>
              </wp:positionV>
              <wp:extent cx="9514840" cy="267335"/>
              <wp:effectExtent l="0" t="0" r="0" b="0"/>
              <wp:wrapNone/>
              <wp:docPr id="675" name="Rectangle 675"/>
              <wp:cNvGraphicFramePr/>
              <a:graphic xmlns:a="http://schemas.openxmlformats.org/drawingml/2006/main">
                <a:graphicData uri="http://schemas.microsoft.com/office/word/2010/wordprocessingShape">
                  <wps:wsp>
                    <wps:cNvSpPr/>
                    <wps:spPr>
                      <a:xfrm>
                        <a:off x="0" y="0"/>
                        <a:ext cx="9514840" cy="267335"/>
                      </a:xfrm>
                      <a:prstGeom prst="rect">
                        <a:avLst/>
                      </a:prstGeom>
                      <a:solidFill>
                        <a:srgbClr val="E08C0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E707" id="Rectangle 675" o:spid="_x0000_s1026" style="position:absolute;margin-left:-111.05pt;margin-top:.2pt;width:749.2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" fillcolor="#e08c05" stroked="f"/>
          </w:pict>
        </mc:Fallback>
      </mc:AlternateContent>
    </w:r>
  </w:p>
  <w:p w14:paraId="41557BDA" w14:textId="77777777" w:rsidR="00390020" w:rsidRDefault="00284325" w:rsidP="00284325">
    <w:r w:rsidRPr="00284325">
      <w:rPr>
        <w:noProof/>
      </w:rPr>
      <w:drawing>
        <wp:anchor distT="0" distB="0" distL="114300" distR="114300" simplePos="0" relativeHeight="251664384" behindDoc="0" locked="0" layoutInCell="1" allowOverlap="1" wp14:anchorId="058B8274" wp14:editId="54185011">
          <wp:simplePos x="0" y="0"/>
          <wp:positionH relativeFrom="column">
            <wp:posOffset>-42214</wp:posOffset>
          </wp:positionH>
          <wp:positionV relativeFrom="paragraph">
            <wp:posOffset>159385</wp:posOffset>
          </wp:positionV>
          <wp:extent cx="2550795" cy="72834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50795" cy="728345"/>
                  </a:xfrm>
                  <a:prstGeom prst="rect">
                    <a:avLst/>
                  </a:prstGeom>
                </pic:spPr>
              </pic:pic>
            </a:graphicData>
          </a:graphic>
          <wp14:sizeRelH relativeFrom="page">
            <wp14:pctWidth>0</wp14:pctWidth>
          </wp14:sizeRelH>
          <wp14:sizeRelV relativeFrom="page">
            <wp14:pctHeight>0</wp14:pctHeight>
          </wp14:sizeRelV>
        </wp:anchor>
      </w:drawing>
    </w:r>
  </w:p>
  <w:p w14:paraId="077D3F0D" w14:textId="77777777" w:rsidR="00390020" w:rsidRDefault="00390020" w:rsidP="00284325"/>
  <w:p w14:paraId="6AE89BEE" w14:textId="77777777" w:rsidR="00390020" w:rsidRDefault="00390020" w:rsidP="00284325"/>
  <w:p w14:paraId="78B2DADD" w14:textId="77777777" w:rsidR="00E17020" w:rsidRDefault="00284325" w:rsidP="00284325">
    <w:r w:rsidRPr="00284325">
      <w:rPr>
        <w:noProof/>
      </w:rPr>
      <mc:AlternateContent>
        <mc:Choice Requires="wps">
          <w:drawing>
            <wp:anchor distT="0" distB="0" distL="114300" distR="114300" simplePos="0" relativeHeight="251665408" behindDoc="0" locked="0" layoutInCell="1" allowOverlap="1" wp14:anchorId="43C4714B" wp14:editId="623B3145">
              <wp:simplePos x="0" y="0"/>
              <wp:positionH relativeFrom="column">
                <wp:posOffset>-873760</wp:posOffset>
              </wp:positionH>
              <wp:positionV relativeFrom="paragraph">
                <wp:posOffset>131749</wp:posOffset>
              </wp:positionV>
              <wp:extent cx="8237855" cy="85725"/>
              <wp:effectExtent l="0" t="0" r="0" b="9525"/>
              <wp:wrapNone/>
              <wp:docPr id="3" name="Rectangle 3"/>
              <wp:cNvGraphicFramePr/>
              <a:graphic xmlns:a="http://schemas.openxmlformats.org/drawingml/2006/main">
                <a:graphicData uri="http://schemas.microsoft.com/office/word/2010/wordprocessingShape">
                  <wps:wsp>
                    <wps:cNvSpPr/>
                    <wps:spPr>
                      <a:xfrm>
                        <a:off x="0" y="0"/>
                        <a:ext cx="8237855" cy="85725"/>
                      </a:xfrm>
                      <a:prstGeom prst="rect">
                        <a:avLst/>
                      </a:prstGeom>
                      <a:solidFill>
                        <a:srgbClr val="01486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A447" id="Rectangle 3" o:spid="_x0000_s1026" style="position:absolute;margin-left:-68.8pt;margin-top:10.35pt;width:648.6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" fillcolor="#014868"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3858"/>
    <w:multiLevelType w:val="hybridMultilevel"/>
    <w:tmpl w:val="6F9AC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21562"/>
    <w:multiLevelType w:val="multilevel"/>
    <w:tmpl w:val="583A38C4"/>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BEA444C"/>
    <w:multiLevelType w:val="hybridMultilevel"/>
    <w:tmpl w:val="B88EB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E660B4"/>
    <w:multiLevelType w:val="hybridMultilevel"/>
    <w:tmpl w:val="5CD4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86BC4"/>
    <w:multiLevelType w:val="hybridMultilevel"/>
    <w:tmpl w:val="4642E00E"/>
    <w:lvl w:ilvl="0" w:tplc="2EA24158">
      <w:start w:val="1"/>
      <w:numFmt w:val="bullet"/>
      <w:pStyle w:val="List"/>
      <w:lvlText w:val=""/>
      <w:lvlJc w:val="left"/>
      <w:pPr>
        <w:ind w:left="720" w:hanging="360"/>
      </w:pPr>
      <w:rPr>
        <w:rFonts w:ascii="Symbol" w:hAnsi="Symbol" w:hint="default"/>
        <w:color w:val="6981A4" w:themeColor="text2"/>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17764E1D"/>
    <w:multiLevelType w:val="hybridMultilevel"/>
    <w:tmpl w:val="C93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75E99"/>
    <w:multiLevelType w:val="hybridMultilevel"/>
    <w:tmpl w:val="105E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9480F"/>
    <w:multiLevelType w:val="hybridMultilevel"/>
    <w:tmpl w:val="48B49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995C97"/>
    <w:multiLevelType w:val="hybridMultilevel"/>
    <w:tmpl w:val="50D0C47A"/>
    <w:lvl w:ilvl="0" w:tplc="17462512">
      <w:start w:val="1"/>
      <w:numFmt w:val="bullet"/>
      <w:pStyle w:val="ListBullet2"/>
      <w:lvlText w:val=""/>
      <w:lvlJc w:val="left"/>
      <w:pPr>
        <w:tabs>
          <w:tab w:val="num" w:pos="504"/>
        </w:tabs>
        <w:ind w:left="648" w:hanging="144"/>
      </w:pPr>
      <w:rPr>
        <w:rFonts w:ascii="Symbol" w:hAnsi="Symbol" w:hint="default"/>
        <w:color w:val="6981A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2BBC767E"/>
    <w:multiLevelType w:val="hybridMultilevel"/>
    <w:tmpl w:val="1502521C"/>
    <w:lvl w:ilvl="0" w:tplc="6E36713A">
      <w:start w:val="1"/>
      <w:numFmt w:val="decimal"/>
      <w:pStyle w:val="ListNumber"/>
      <w:lvlText w:val="%1."/>
      <w:lvlJc w:val="left"/>
      <w:pPr>
        <w:tabs>
          <w:tab w:val="num" w:pos="720"/>
        </w:tabs>
        <w:ind w:left="720" w:hanging="360"/>
      </w:pPr>
      <w:rPr>
        <w:rFonts w:ascii="Proxima Nova Bold" w:hAnsi="Proxima Nova Bold" w:hint="default"/>
        <w:color w:val="6981A4"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C354D"/>
    <w:multiLevelType w:val="multilevel"/>
    <w:tmpl w:val="0E589B1A"/>
    <w:lvl w:ilvl="0">
      <w:start w:val="1"/>
      <w:numFmt w:val="lowerLetter"/>
      <w:lvlText w:val="%1."/>
      <w:lvlJc w:val="left"/>
      <w:pPr>
        <w:ind w:left="2175" w:firstLine="1815"/>
      </w:pPr>
    </w:lvl>
    <w:lvl w:ilvl="1">
      <w:start w:val="1"/>
      <w:numFmt w:val="lowerLetter"/>
      <w:lvlText w:val="%2."/>
      <w:lvlJc w:val="left"/>
      <w:pPr>
        <w:ind w:left="2895" w:firstLine="2535"/>
      </w:pPr>
    </w:lvl>
    <w:lvl w:ilvl="2">
      <w:start w:val="1"/>
      <w:numFmt w:val="lowerRoman"/>
      <w:lvlText w:val="%3."/>
      <w:lvlJc w:val="right"/>
      <w:pPr>
        <w:ind w:left="3615" w:firstLine="3435"/>
      </w:pPr>
    </w:lvl>
    <w:lvl w:ilvl="3">
      <w:start w:val="1"/>
      <w:numFmt w:val="decimal"/>
      <w:lvlText w:val="%4."/>
      <w:lvlJc w:val="left"/>
      <w:pPr>
        <w:ind w:left="4335" w:firstLine="3975"/>
      </w:pPr>
    </w:lvl>
    <w:lvl w:ilvl="4">
      <w:start w:val="1"/>
      <w:numFmt w:val="lowerLetter"/>
      <w:lvlText w:val="%5."/>
      <w:lvlJc w:val="left"/>
      <w:pPr>
        <w:ind w:left="5055" w:firstLine="4695"/>
      </w:pPr>
    </w:lvl>
    <w:lvl w:ilvl="5">
      <w:start w:val="1"/>
      <w:numFmt w:val="lowerRoman"/>
      <w:lvlText w:val="%6."/>
      <w:lvlJc w:val="right"/>
      <w:pPr>
        <w:ind w:left="5775" w:firstLine="5595"/>
      </w:pPr>
    </w:lvl>
    <w:lvl w:ilvl="6">
      <w:start w:val="1"/>
      <w:numFmt w:val="decimal"/>
      <w:lvlText w:val="%7."/>
      <w:lvlJc w:val="left"/>
      <w:pPr>
        <w:ind w:left="6495" w:firstLine="6135"/>
      </w:pPr>
    </w:lvl>
    <w:lvl w:ilvl="7">
      <w:start w:val="1"/>
      <w:numFmt w:val="lowerLetter"/>
      <w:lvlText w:val="%8."/>
      <w:lvlJc w:val="left"/>
      <w:pPr>
        <w:ind w:left="7215" w:firstLine="6855"/>
      </w:pPr>
    </w:lvl>
    <w:lvl w:ilvl="8">
      <w:start w:val="1"/>
      <w:numFmt w:val="lowerRoman"/>
      <w:lvlText w:val="%9."/>
      <w:lvlJc w:val="right"/>
      <w:pPr>
        <w:ind w:left="7935" w:firstLine="7755"/>
      </w:pPr>
    </w:lvl>
  </w:abstractNum>
  <w:abstractNum w:abstractNumId="11" w15:restartNumberingAfterBreak="0">
    <w:nsid w:val="32D43019"/>
    <w:multiLevelType w:val="hybridMultilevel"/>
    <w:tmpl w:val="C302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A30DF"/>
    <w:multiLevelType w:val="hybridMultilevel"/>
    <w:tmpl w:val="D45AF73C"/>
    <w:lvl w:ilvl="0" w:tplc="481EF792">
      <w:start w:val="1"/>
      <w:numFmt w:val="bullet"/>
      <w:pStyle w:val="ListBullet4"/>
      <w:lvlText w:val="-"/>
      <w:lvlJc w:val="left"/>
      <w:pPr>
        <w:ind w:left="540" w:hanging="360"/>
      </w:pPr>
      <w:rPr>
        <w:rFonts w:ascii="Courier" w:hAnsi="Courier" w:hint="default"/>
      </w:rPr>
    </w:lvl>
    <w:lvl w:ilvl="1" w:tplc="04090003" w:tentative="1">
      <w:start w:val="1"/>
      <w:numFmt w:val="bullet"/>
      <w:lvlText w:val="o"/>
      <w:lvlJc w:val="left"/>
      <w:pPr>
        <w:ind w:left="1260" w:hanging="360"/>
      </w:pPr>
      <w:rPr>
        <w:rFonts w:ascii="Courier" w:hAnsi="Courier" w:hint="default"/>
      </w:rPr>
    </w:lvl>
    <w:lvl w:ilvl="2" w:tplc="04090005" w:tentative="1">
      <w:start w:val="1"/>
      <w:numFmt w:val="bullet"/>
      <w:lvlText w:val=""/>
      <w:lvlJc w:val="left"/>
      <w:pPr>
        <w:ind w:left="1980" w:hanging="360"/>
      </w:pPr>
      <w:rPr>
        <w:rFonts w:ascii="Symbol" w:hAnsi="Symbol"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w:hAnsi="Courier" w:hint="default"/>
      </w:rPr>
    </w:lvl>
    <w:lvl w:ilvl="5" w:tplc="04090005" w:tentative="1">
      <w:start w:val="1"/>
      <w:numFmt w:val="bullet"/>
      <w:lvlText w:val=""/>
      <w:lvlJc w:val="left"/>
      <w:pPr>
        <w:ind w:left="4140" w:hanging="360"/>
      </w:pPr>
      <w:rPr>
        <w:rFonts w:ascii="Symbol" w:hAnsi="Symbol"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w:hAnsi="Courier" w:hint="default"/>
      </w:rPr>
    </w:lvl>
    <w:lvl w:ilvl="8" w:tplc="04090005" w:tentative="1">
      <w:start w:val="1"/>
      <w:numFmt w:val="bullet"/>
      <w:lvlText w:val=""/>
      <w:lvlJc w:val="left"/>
      <w:pPr>
        <w:ind w:left="6300" w:hanging="360"/>
      </w:pPr>
      <w:rPr>
        <w:rFonts w:ascii="Symbol" w:hAnsi="Symbol" w:hint="default"/>
      </w:rPr>
    </w:lvl>
  </w:abstractNum>
  <w:abstractNum w:abstractNumId="13" w15:restartNumberingAfterBreak="0">
    <w:nsid w:val="3B3A5744"/>
    <w:multiLevelType w:val="hybridMultilevel"/>
    <w:tmpl w:val="11541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65D38"/>
    <w:multiLevelType w:val="hybridMultilevel"/>
    <w:tmpl w:val="EE30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A658A"/>
    <w:multiLevelType w:val="hybridMultilevel"/>
    <w:tmpl w:val="ECF86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8523A"/>
    <w:multiLevelType w:val="hybridMultilevel"/>
    <w:tmpl w:val="F38E55A2"/>
    <w:lvl w:ilvl="0" w:tplc="A83A57A6">
      <w:start w:val="1"/>
      <w:numFmt w:val="bullet"/>
      <w:pStyle w:val="List2"/>
      <w:lvlText w:val="»"/>
      <w:lvlJc w:val="left"/>
      <w:pPr>
        <w:ind w:left="1080" w:hanging="360"/>
      </w:pPr>
      <w:rPr>
        <w:rFonts w:ascii="Times New Roman" w:hAnsi="Times New Roman" w:cs="Times New Roman" w:hint="default"/>
        <w:color w:val="6981A4" w:themeColor="text2"/>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17" w15:restartNumberingAfterBreak="0">
    <w:nsid w:val="40F548EE"/>
    <w:multiLevelType w:val="hybridMultilevel"/>
    <w:tmpl w:val="1A42B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775FFA"/>
    <w:multiLevelType w:val="hybridMultilevel"/>
    <w:tmpl w:val="78C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A2E42"/>
    <w:multiLevelType w:val="hybridMultilevel"/>
    <w:tmpl w:val="922C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C345C"/>
    <w:multiLevelType w:val="hybridMultilevel"/>
    <w:tmpl w:val="9B3A94F2"/>
    <w:lvl w:ilvl="0" w:tplc="F3C2E466">
      <w:start w:val="1"/>
      <w:numFmt w:val="bullet"/>
      <w:pStyle w:val="ListBullet3"/>
      <w:lvlText w:val=""/>
      <w:lvlJc w:val="left"/>
      <w:pPr>
        <w:ind w:left="360" w:hanging="360"/>
      </w:pPr>
      <w:rPr>
        <w:rFonts w:ascii="Symbol" w:hAnsi="Symbol" w:hint="default"/>
        <w:color w:val="6981A4" w:themeColor="text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4D079C4"/>
    <w:multiLevelType w:val="hybridMultilevel"/>
    <w:tmpl w:val="32EAB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0372E"/>
    <w:multiLevelType w:val="hybridMultilevel"/>
    <w:tmpl w:val="3C7E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33483"/>
    <w:multiLevelType w:val="hybridMultilevel"/>
    <w:tmpl w:val="9568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834621"/>
    <w:multiLevelType w:val="hybridMultilevel"/>
    <w:tmpl w:val="22A8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452A2"/>
    <w:multiLevelType w:val="hybridMultilevel"/>
    <w:tmpl w:val="B7803860"/>
    <w:lvl w:ilvl="0" w:tplc="1570E758">
      <w:start w:val="1"/>
      <w:numFmt w:val="bullet"/>
      <w:pStyle w:val="List3"/>
      <w:lvlText w:val="-"/>
      <w:lvlJc w:val="left"/>
      <w:pPr>
        <w:ind w:left="1440" w:hanging="360"/>
      </w:pPr>
      <w:rPr>
        <w:rFonts w:ascii="Courier" w:hAnsi="Courier" w:hint="default"/>
      </w:rPr>
    </w:lvl>
    <w:lvl w:ilvl="1" w:tplc="04090003">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Symbol" w:hAnsi="Symbol" w:hint="default"/>
      </w:rPr>
    </w:lvl>
  </w:abstractNum>
  <w:abstractNum w:abstractNumId="26" w15:restartNumberingAfterBreak="0">
    <w:nsid w:val="706B7DB1"/>
    <w:multiLevelType w:val="hybridMultilevel"/>
    <w:tmpl w:val="29027D5C"/>
    <w:lvl w:ilvl="0" w:tplc="AE50C534">
      <w:start w:val="1"/>
      <w:numFmt w:val="bullet"/>
      <w:pStyle w:val="ListBullet"/>
      <w:lvlText w:val=""/>
      <w:lvlJc w:val="left"/>
      <w:pPr>
        <w:tabs>
          <w:tab w:val="num" w:pos="216"/>
        </w:tabs>
        <w:ind w:left="288" w:hanging="288"/>
      </w:pPr>
      <w:rPr>
        <w:rFonts w:ascii="Symbol" w:hAnsi="Symbol" w:hint="default"/>
        <w:color w:val="6981A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746C370B"/>
    <w:multiLevelType w:val="hybridMultilevel"/>
    <w:tmpl w:val="C74E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D611F"/>
    <w:multiLevelType w:val="hybridMultilevel"/>
    <w:tmpl w:val="70307DDC"/>
    <w:lvl w:ilvl="0" w:tplc="E64EEEB0">
      <w:start w:val="1"/>
      <w:numFmt w:val="bullet"/>
      <w:lvlText w:val="•"/>
      <w:lvlJc w:val="left"/>
      <w:pPr>
        <w:tabs>
          <w:tab w:val="num" w:pos="720"/>
        </w:tabs>
        <w:ind w:left="720" w:hanging="360"/>
      </w:pPr>
      <w:rPr>
        <w:rFonts w:ascii="Arial" w:hAnsi="Arial" w:hint="default"/>
      </w:rPr>
    </w:lvl>
    <w:lvl w:ilvl="1" w:tplc="8F647E48" w:tentative="1">
      <w:start w:val="1"/>
      <w:numFmt w:val="bullet"/>
      <w:lvlText w:val="•"/>
      <w:lvlJc w:val="left"/>
      <w:pPr>
        <w:tabs>
          <w:tab w:val="num" w:pos="1440"/>
        </w:tabs>
        <w:ind w:left="1440" w:hanging="360"/>
      </w:pPr>
      <w:rPr>
        <w:rFonts w:ascii="Arial" w:hAnsi="Arial" w:hint="default"/>
      </w:rPr>
    </w:lvl>
    <w:lvl w:ilvl="2" w:tplc="35E296F2" w:tentative="1">
      <w:start w:val="1"/>
      <w:numFmt w:val="bullet"/>
      <w:lvlText w:val="•"/>
      <w:lvlJc w:val="left"/>
      <w:pPr>
        <w:tabs>
          <w:tab w:val="num" w:pos="2160"/>
        </w:tabs>
        <w:ind w:left="2160" w:hanging="360"/>
      </w:pPr>
      <w:rPr>
        <w:rFonts w:ascii="Arial" w:hAnsi="Arial" w:hint="default"/>
      </w:rPr>
    </w:lvl>
    <w:lvl w:ilvl="3" w:tplc="56FA0F72" w:tentative="1">
      <w:start w:val="1"/>
      <w:numFmt w:val="bullet"/>
      <w:lvlText w:val="•"/>
      <w:lvlJc w:val="left"/>
      <w:pPr>
        <w:tabs>
          <w:tab w:val="num" w:pos="2880"/>
        </w:tabs>
        <w:ind w:left="2880" w:hanging="360"/>
      </w:pPr>
      <w:rPr>
        <w:rFonts w:ascii="Arial" w:hAnsi="Arial" w:hint="default"/>
      </w:rPr>
    </w:lvl>
    <w:lvl w:ilvl="4" w:tplc="CD54A59E" w:tentative="1">
      <w:start w:val="1"/>
      <w:numFmt w:val="bullet"/>
      <w:lvlText w:val="•"/>
      <w:lvlJc w:val="left"/>
      <w:pPr>
        <w:tabs>
          <w:tab w:val="num" w:pos="3600"/>
        </w:tabs>
        <w:ind w:left="3600" w:hanging="360"/>
      </w:pPr>
      <w:rPr>
        <w:rFonts w:ascii="Arial" w:hAnsi="Arial" w:hint="default"/>
      </w:rPr>
    </w:lvl>
    <w:lvl w:ilvl="5" w:tplc="4E904D68" w:tentative="1">
      <w:start w:val="1"/>
      <w:numFmt w:val="bullet"/>
      <w:lvlText w:val="•"/>
      <w:lvlJc w:val="left"/>
      <w:pPr>
        <w:tabs>
          <w:tab w:val="num" w:pos="4320"/>
        </w:tabs>
        <w:ind w:left="4320" w:hanging="360"/>
      </w:pPr>
      <w:rPr>
        <w:rFonts w:ascii="Arial" w:hAnsi="Arial" w:hint="default"/>
      </w:rPr>
    </w:lvl>
    <w:lvl w:ilvl="6" w:tplc="1382B230" w:tentative="1">
      <w:start w:val="1"/>
      <w:numFmt w:val="bullet"/>
      <w:lvlText w:val="•"/>
      <w:lvlJc w:val="left"/>
      <w:pPr>
        <w:tabs>
          <w:tab w:val="num" w:pos="5040"/>
        </w:tabs>
        <w:ind w:left="5040" w:hanging="360"/>
      </w:pPr>
      <w:rPr>
        <w:rFonts w:ascii="Arial" w:hAnsi="Arial" w:hint="default"/>
      </w:rPr>
    </w:lvl>
    <w:lvl w:ilvl="7" w:tplc="4A40D8F8" w:tentative="1">
      <w:start w:val="1"/>
      <w:numFmt w:val="bullet"/>
      <w:lvlText w:val="•"/>
      <w:lvlJc w:val="left"/>
      <w:pPr>
        <w:tabs>
          <w:tab w:val="num" w:pos="5760"/>
        </w:tabs>
        <w:ind w:left="5760" w:hanging="360"/>
      </w:pPr>
      <w:rPr>
        <w:rFonts w:ascii="Arial" w:hAnsi="Arial" w:hint="default"/>
      </w:rPr>
    </w:lvl>
    <w:lvl w:ilvl="8" w:tplc="4F3AC4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F01421"/>
    <w:multiLevelType w:val="hybridMultilevel"/>
    <w:tmpl w:val="95B6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A7D02"/>
    <w:multiLevelType w:val="hybridMultilevel"/>
    <w:tmpl w:val="207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0"/>
  </w:num>
  <w:num w:numId="4">
    <w:abstractNumId w:val="12"/>
  </w:num>
  <w:num w:numId="5">
    <w:abstractNumId w:val="26"/>
  </w:num>
  <w:num w:numId="6">
    <w:abstractNumId w:val="8"/>
  </w:num>
  <w:num w:numId="7">
    <w:abstractNumId w:val="4"/>
  </w:num>
  <w:num w:numId="8">
    <w:abstractNumId w:val="9"/>
  </w:num>
  <w:num w:numId="9">
    <w:abstractNumId w:val="22"/>
  </w:num>
  <w:num w:numId="10">
    <w:abstractNumId w:val="19"/>
  </w:num>
  <w:num w:numId="11">
    <w:abstractNumId w:val="11"/>
  </w:num>
  <w:num w:numId="12">
    <w:abstractNumId w:val="3"/>
  </w:num>
  <w:num w:numId="13">
    <w:abstractNumId w:val="30"/>
  </w:num>
  <w:num w:numId="14">
    <w:abstractNumId w:val="18"/>
  </w:num>
  <w:num w:numId="15">
    <w:abstractNumId w:val="6"/>
  </w:num>
  <w:num w:numId="16">
    <w:abstractNumId w:val="29"/>
  </w:num>
  <w:num w:numId="17">
    <w:abstractNumId w:val="27"/>
  </w:num>
  <w:num w:numId="18">
    <w:abstractNumId w:val="24"/>
  </w:num>
  <w:num w:numId="19">
    <w:abstractNumId w:val="5"/>
  </w:num>
  <w:num w:numId="20">
    <w:abstractNumId w:val="23"/>
  </w:num>
  <w:num w:numId="21">
    <w:abstractNumId w:val="28"/>
  </w:num>
  <w:num w:numId="22">
    <w:abstractNumId w:val="0"/>
  </w:num>
  <w:num w:numId="23">
    <w:abstractNumId w:val="7"/>
  </w:num>
  <w:num w:numId="24">
    <w:abstractNumId w:val="13"/>
  </w:num>
  <w:num w:numId="25">
    <w:abstractNumId w:val="2"/>
  </w:num>
  <w:num w:numId="26">
    <w:abstractNumId w:val="15"/>
  </w:num>
  <w:num w:numId="27">
    <w:abstractNumId w:val="21"/>
  </w:num>
  <w:num w:numId="28">
    <w:abstractNumId w:val="14"/>
  </w:num>
  <w:num w:numId="29">
    <w:abstractNumId w:val="1"/>
  </w:num>
  <w:num w:numId="30">
    <w:abstractNumId w:val="10"/>
  </w:num>
  <w:num w:numId="3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2D"/>
    <w:rsid w:val="000041D9"/>
    <w:rsid w:val="00004F10"/>
    <w:rsid w:val="000066A8"/>
    <w:rsid w:val="000073D1"/>
    <w:rsid w:val="00011B24"/>
    <w:rsid w:val="00013270"/>
    <w:rsid w:val="00023002"/>
    <w:rsid w:val="0004050A"/>
    <w:rsid w:val="0004199D"/>
    <w:rsid w:val="000424C8"/>
    <w:rsid w:val="00045A2F"/>
    <w:rsid w:val="00046229"/>
    <w:rsid w:val="00046D52"/>
    <w:rsid w:val="000541CF"/>
    <w:rsid w:val="0005763F"/>
    <w:rsid w:val="0006775F"/>
    <w:rsid w:val="00072EEE"/>
    <w:rsid w:val="0007515B"/>
    <w:rsid w:val="00086E19"/>
    <w:rsid w:val="00086EEB"/>
    <w:rsid w:val="00090C80"/>
    <w:rsid w:val="000929A3"/>
    <w:rsid w:val="00093527"/>
    <w:rsid w:val="000A025D"/>
    <w:rsid w:val="000A0423"/>
    <w:rsid w:val="000A3DE5"/>
    <w:rsid w:val="000A77CE"/>
    <w:rsid w:val="000C095A"/>
    <w:rsid w:val="000C18DA"/>
    <w:rsid w:val="000C232D"/>
    <w:rsid w:val="000C2995"/>
    <w:rsid w:val="000C30B5"/>
    <w:rsid w:val="000D027F"/>
    <w:rsid w:val="000F180C"/>
    <w:rsid w:val="000F5DB8"/>
    <w:rsid w:val="000F7161"/>
    <w:rsid w:val="00102273"/>
    <w:rsid w:val="001061FC"/>
    <w:rsid w:val="00111C62"/>
    <w:rsid w:val="001143E0"/>
    <w:rsid w:val="001148CF"/>
    <w:rsid w:val="00114A09"/>
    <w:rsid w:val="00116B86"/>
    <w:rsid w:val="00117556"/>
    <w:rsid w:val="00120609"/>
    <w:rsid w:val="00120C42"/>
    <w:rsid w:val="00122A50"/>
    <w:rsid w:val="00122AE3"/>
    <w:rsid w:val="00122E7D"/>
    <w:rsid w:val="00130672"/>
    <w:rsid w:val="00130AC2"/>
    <w:rsid w:val="0014420A"/>
    <w:rsid w:val="00147E89"/>
    <w:rsid w:val="001578BB"/>
    <w:rsid w:val="001616A2"/>
    <w:rsid w:val="001661C4"/>
    <w:rsid w:val="001678C5"/>
    <w:rsid w:val="00170BA3"/>
    <w:rsid w:val="00171C50"/>
    <w:rsid w:val="00172B7D"/>
    <w:rsid w:val="00176E48"/>
    <w:rsid w:val="0017723E"/>
    <w:rsid w:val="00180A71"/>
    <w:rsid w:val="001830B9"/>
    <w:rsid w:val="00187577"/>
    <w:rsid w:val="0019107A"/>
    <w:rsid w:val="0019119F"/>
    <w:rsid w:val="0019622A"/>
    <w:rsid w:val="00196C0C"/>
    <w:rsid w:val="00197189"/>
    <w:rsid w:val="0019725D"/>
    <w:rsid w:val="001A07D3"/>
    <w:rsid w:val="001A472D"/>
    <w:rsid w:val="001B361D"/>
    <w:rsid w:val="001B7D86"/>
    <w:rsid w:val="001C0474"/>
    <w:rsid w:val="001D1607"/>
    <w:rsid w:val="001D4102"/>
    <w:rsid w:val="001F1FAA"/>
    <w:rsid w:val="001F3FBD"/>
    <w:rsid w:val="001F58C2"/>
    <w:rsid w:val="00200DD0"/>
    <w:rsid w:val="0020317F"/>
    <w:rsid w:val="00207A65"/>
    <w:rsid w:val="00211B77"/>
    <w:rsid w:val="002165B1"/>
    <w:rsid w:val="002169AE"/>
    <w:rsid w:val="00217E74"/>
    <w:rsid w:val="00225286"/>
    <w:rsid w:val="00232573"/>
    <w:rsid w:val="00233FE5"/>
    <w:rsid w:val="002415DE"/>
    <w:rsid w:val="00244CCC"/>
    <w:rsid w:val="002451B1"/>
    <w:rsid w:val="0024743F"/>
    <w:rsid w:val="00247A1A"/>
    <w:rsid w:val="00247BCC"/>
    <w:rsid w:val="002561C2"/>
    <w:rsid w:val="00263534"/>
    <w:rsid w:val="002646CD"/>
    <w:rsid w:val="00265D5A"/>
    <w:rsid w:val="0027271A"/>
    <w:rsid w:val="002742FB"/>
    <w:rsid w:val="0028096C"/>
    <w:rsid w:val="00283490"/>
    <w:rsid w:val="0028394C"/>
    <w:rsid w:val="00284325"/>
    <w:rsid w:val="00284E95"/>
    <w:rsid w:val="00286224"/>
    <w:rsid w:val="00287509"/>
    <w:rsid w:val="00297A82"/>
    <w:rsid w:val="002A304E"/>
    <w:rsid w:val="002A68F5"/>
    <w:rsid w:val="002B0276"/>
    <w:rsid w:val="002B03BE"/>
    <w:rsid w:val="002B1EE0"/>
    <w:rsid w:val="002B2300"/>
    <w:rsid w:val="002C11AC"/>
    <w:rsid w:val="002C5FC6"/>
    <w:rsid w:val="002D1282"/>
    <w:rsid w:val="002E2362"/>
    <w:rsid w:val="002E700E"/>
    <w:rsid w:val="002F0091"/>
    <w:rsid w:val="002F0A71"/>
    <w:rsid w:val="002F66D2"/>
    <w:rsid w:val="002F6F9C"/>
    <w:rsid w:val="002F72E2"/>
    <w:rsid w:val="003101C8"/>
    <w:rsid w:val="0032052A"/>
    <w:rsid w:val="003223CE"/>
    <w:rsid w:val="003232A3"/>
    <w:rsid w:val="00323882"/>
    <w:rsid w:val="00325A9D"/>
    <w:rsid w:val="00325D50"/>
    <w:rsid w:val="0033161F"/>
    <w:rsid w:val="00335EDE"/>
    <w:rsid w:val="0034112F"/>
    <w:rsid w:val="0034221D"/>
    <w:rsid w:val="003452A1"/>
    <w:rsid w:val="00345DF5"/>
    <w:rsid w:val="003572F7"/>
    <w:rsid w:val="003622DB"/>
    <w:rsid w:val="003629F6"/>
    <w:rsid w:val="003637C5"/>
    <w:rsid w:val="00375893"/>
    <w:rsid w:val="0038021B"/>
    <w:rsid w:val="00380897"/>
    <w:rsid w:val="0038178B"/>
    <w:rsid w:val="00383396"/>
    <w:rsid w:val="00384D39"/>
    <w:rsid w:val="00390020"/>
    <w:rsid w:val="0039109E"/>
    <w:rsid w:val="0039166E"/>
    <w:rsid w:val="00393AB9"/>
    <w:rsid w:val="00393E26"/>
    <w:rsid w:val="003968F9"/>
    <w:rsid w:val="003A15EB"/>
    <w:rsid w:val="003A1F99"/>
    <w:rsid w:val="003A4421"/>
    <w:rsid w:val="003A6C1A"/>
    <w:rsid w:val="003B4718"/>
    <w:rsid w:val="003B6EB8"/>
    <w:rsid w:val="003C34F0"/>
    <w:rsid w:val="003C3ABE"/>
    <w:rsid w:val="003C51EA"/>
    <w:rsid w:val="003C71F8"/>
    <w:rsid w:val="003D24EE"/>
    <w:rsid w:val="003D32D2"/>
    <w:rsid w:val="003D54AD"/>
    <w:rsid w:val="003E0BFF"/>
    <w:rsid w:val="003E2A03"/>
    <w:rsid w:val="003E486B"/>
    <w:rsid w:val="003E659D"/>
    <w:rsid w:val="003E70D6"/>
    <w:rsid w:val="003E7517"/>
    <w:rsid w:val="003F6D95"/>
    <w:rsid w:val="004010F5"/>
    <w:rsid w:val="00404041"/>
    <w:rsid w:val="0040650A"/>
    <w:rsid w:val="00407986"/>
    <w:rsid w:val="00414391"/>
    <w:rsid w:val="00416801"/>
    <w:rsid w:val="00420653"/>
    <w:rsid w:val="0042119E"/>
    <w:rsid w:val="00421AC4"/>
    <w:rsid w:val="00423B07"/>
    <w:rsid w:val="00426CA3"/>
    <w:rsid w:val="00430304"/>
    <w:rsid w:val="0043502F"/>
    <w:rsid w:val="004459AF"/>
    <w:rsid w:val="0046154F"/>
    <w:rsid w:val="00465804"/>
    <w:rsid w:val="00471FBD"/>
    <w:rsid w:val="00485A7B"/>
    <w:rsid w:val="00486B53"/>
    <w:rsid w:val="0048721B"/>
    <w:rsid w:val="00491D85"/>
    <w:rsid w:val="00492C0E"/>
    <w:rsid w:val="004A379F"/>
    <w:rsid w:val="004A7FC3"/>
    <w:rsid w:val="004B008B"/>
    <w:rsid w:val="004B22AF"/>
    <w:rsid w:val="004B633B"/>
    <w:rsid w:val="004C1256"/>
    <w:rsid w:val="004C2B56"/>
    <w:rsid w:val="004D26EA"/>
    <w:rsid w:val="004D296E"/>
    <w:rsid w:val="004D6C8D"/>
    <w:rsid w:val="004F074C"/>
    <w:rsid w:val="005054FF"/>
    <w:rsid w:val="00506099"/>
    <w:rsid w:val="005068B4"/>
    <w:rsid w:val="00506C53"/>
    <w:rsid w:val="00527F8F"/>
    <w:rsid w:val="0053187E"/>
    <w:rsid w:val="00532B7C"/>
    <w:rsid w:val="00533B07"/>
    <w:rsid w:val="0053423C"/>
    <w:rsid w:val="005371AA"/>
    <w:rsid w:val="00537F9A"/>
    <w:rsid w:val="00542E68"/>
    <w:rsid w:val="005434F3"/>
    <w:rsid w:val="00543744"/>
    <w:rsid w:val="005449B1"/>
    <w:rsid w:val="00545797"/>
    <w:rsid w:val="0055034F"/>
    <w:rsid w:val="00561B9D"/>
    <w:rsid w:val="00565ED7"/>
    <w:rsid w:val="00567128"/>
    <w:rsid w:val="0057322C"/>
    <w:rsid w:val="0057335F"/>
    <w:rsid w:val="00574E5B"/>
    <w:rsid w:val="0057678B"/>
    <w:rsid w:val="0058269B"/>
    <w:rsid w:val="005826EF"/>
    <w:rsid w:val="005865DA"/>
    <w:rsid w:val="00586D73"/>
    <w:rsid w:val="0059604B"/>
    <w:rsid w:val="00597BD1"/>
    <w:rsid w:val="005B1554"/>
    <w:rsid w:val="005B2D66"/>
    <w:rsid w:val="005B3C8B"/>
    <w:rsid w:val="005B4701"/>
    <w:rsid w:val="005B5347"/>
    <w:rsid w:val="005C19FA"/>
    <w:rsid w:val="005C2C6D"/>
    <w:rsid w:val="005D7CEF"/>
    <w:rsid w:val="005E163C"/>
    <w:rsid w:val="005E40D7"/>
    <w:rsid w:val="005E7A87"/>
    <w:rsid w:val="006078B5"/>
    <w:rsid w:val="0061072F"/>
    <w:rsid w:val="006131C3"/>
    <w:rsid w:val="00616CD1"/>
    <w:rsid w:val="006226F7"/>
    <w:rsid w:val="00624AD0"/>
    <w:rsid w:val="00643BEB"/>
    <w:rsid w:val="00643E8F"/>
    <w:rsid w:val="00644085"/>
    <w:rsid w:val="00645E17"/>
    <w:rsid w:val="006612B4"/>
    <w:rsid w:val="00663E0E"/>
    <w:rsid w:val="006703FB"/>
    <w:rsid w:val="00681081"/>
    <w:rsid w:val="006939DC"/>
    <w:rsid w:val="00694D33"/>
    <w:rsid w:val="006A04CE"/>
    <w:rsid w:val="006A172E"/>
    <w:rsid w:val="006A7A90"/>
    <w:rsid w:val="006B2A82"/>
    <w:rsid w:val="006B3FCC"/>
    <w:rsid w:val="006C1D26"/>
    <w:rsid w:val="006C3E6D"/>
    <w:rsid w:val="006C4C38"/>
    <w:rsid w:val="006D4874"/>
    <w:rsid w:val="006D5C9B"/>
    <w:rsid w:val="006E1039"/>
    <w:rsid w:val="006E3336"/>
    <w:rsid w:val="006E7707"/>
    <w:rsid w:val="006F07A5"/>
    <w:rsid w:val="006F3E6B"/>
    <w:rsid w:val="006F51CE"/>
    <w:rsid w:val="006F545B"/>
    <w:rsid w:val="006F58AB"/>
    <w:rsid w:val="006F62B5"/>
    <w:rsid w:val="00701280"/>
    <w:rsid w:val="00701D3F"/>
    <w:rsid w:val="007113B0"/>
    <w:rsid w:val="00711949"/>
    <w:rsid w:val="007126E9"/>
    <w:rsid w:val="007142DB"/>
    <w:rsid w:val="00715F48"/>
    <w:rsid w:val="007161F7"/>
    <w:rsid w:val="0072349A"/>
    <w:rsid w:val="00732EB8"/>
    <w:rsid w:val="007358B9"/>
    <w:rsid w:val="007401D8"/>
    <w:rsid w:val="0074102F"/>
    <w:rsid w:val="007440EC"/>
    <w:rsid w:val="0074687F"/>
    <w:rsid w:val="0075190C"/>
    <w:rsid w:val="00753EF5"/>
    <w:rsid w:val="00754FC3"/>
    <w:rsid w:val="00756D4F"/>
    <w:rsid w:val="00756FE7"/>
    <w:rsid w:val="00760321"/>
    <w:rsid w:val="007640F5"/>
    <w:rsid w:val="007659FC"/>
    <w:rsid w:val="0077139C"/>
    <w:rsid w:val="00771439"/>
    <w:rsid w:val="00771A69"/>
    <w:rsid w:val="00771D17"/>
    <w:rsid w:val="007724A8"/>
    <w:rsid w:val="00784542"/>
    <w:rsid w:val="007871D6"/>
    <w:rsid w:val="00793AA8"/>
    <w:rsid w:val="00796456"/>
    <w:rsid w:val="007A2447"/>
    <w:rsid w:val="007B03CE"/>
    <w:rsid w:val="007B1829"/>
    <w:rsid w:val="007C0F07"/>
    <w:rsid w:val="007D3253"/>
    <w:rsid w:val="007D73DA"/>
    <w:rsid w:val="007E057B"/>
    <w:rsid w:val="007E380F"/>
    <w:rsid w:val="007E6AD1"/>
    <w:rsid w:val="007F45E2"/>
    <w:rsid w:val="007F7431"/>
    <w:rsid w:val="008153C5"/>
    <w:rsid w:val="00820F0C"/>
    <w:rsid w:val="00825327"/>
    <w:rsid w:val="00825513"/>
    <w:rsid w:val="00825EC3"/>
    <w:rsid w:val="00826242"/>
    <w:rsid w:val="0084526F"/>
    <w:rsid w:val="00851BC8"/>
    <w:rsid w:val="0085218D"/>
    <w:rsid w:val="00854C2C"/>
    <w:rsid w:val="00857E91"/>
    <w:rsid w:val="008662C7"/>
    <w:rsid w:val="00875DBD"/>
    <w:rsid w:val="00880026"/>
    <w:rsid w:val="00890476"/>
    <w:rsid w:val="00892898"/>
    <w:rsid w:val="00892AA5"/>
    <w:rsid w:val="008A2941"/>
    <w:rsid w:val="008A3E28"/>
    <w:rsid w:val="008A4AC7"/>
    <w:rsid w:val="008B1C79"/>
    <w:rsid w:val="008B36AB"/>
    <w:rsid w:val="008B3B1C"/>
    <w:rsid w:val="008B5E2C"/>
    <w:rsid w:val="008C1E2A"/>
    <w:rsid w:val="008C3761"/>
    <w:rsid w:val="008D284C"/>
    <w:rsid w:val="008D7E75"/>
    <w:rsid w:val="008E5C0B"/>
    <w:rsid w:val="008E6B07"/>
    <w:rsid w:val="008E7E61"/>
    <w:rsid w:val="008F3B5D"/>
    <w:rsid w:val="008F523F"/>
    <w:rsid w:val="00900B46"/>
    <w:rsid w:val="00903D69"/>
    <w:rsid w:val="00904B84"/>
    <w:rsid w:val="00907086"/>
    <w:rsid w:val="009102C4"/>
    <w:rsid w:val="009159C8"/>
    <w:rsid w:val="00915DC9"/>
    <w:rsid w:val="00916758"/>
    <w:rsid w:val="00917568"/>
    <w:rsid w:val="009221C2"/>
    <w:rsid w:val="00927801"/>
    <w:rsid w:val="0093135F"/>
    <w:rsid w:val="00933C2F"/>
    <w:rsid w:val="009345AE"/>
    <w:rsid w:val="00943599"/>
    <w:rsid w:val="009440A1"/>
    <w:rsid w:val="00946EC7"/>
    <w:rsid w:val="00947BE3"/>
    <w:rsid w:val="00953043"/>
    <w:rsid w:val="009548D2"/>
    <w:rsid w:val="00954D4F"/>
    <w:rsid w:val="00963BE7"/>
    <w:rsid w:val="00967A82"/>
    <w:rsid w:val="00972B63"/>
    <w:rsid w:val="0098300D"/>
    <w:rsid w:val="00983293"/>
    <w:rsid w:val="00983B00"/>
    <w:rsid w:val="009844DC"/>
    <w:rsid w:val="009926CA"/>
    <w:rsid w:val="00993E21"/>
    <w:rsid w:val="009947D8"/>
    <w:rsid w:val="00996DEE"/>
    <w:rsid w:val="00997671"/>
    <w:rsid w:val="009A6100"/>
    <w:rsid w:val="009B0AE2"/>
    <w:rsid w:val="009B1945"/>
    <w:rsid w:val="009B1EEA"/>
    <w:rsid w:val="009B5FCA"/>
    <w:rsid w:val="009C10A6"/>
    <w:rsid w:val="009C212D"/>
    <w:rsid w:val="009C217B"/>
    <w:rsid w:val="009C2406"/>
    <w:rsid w:val="009C3078"/>
    <w:rsid w:val="009C3B69"/>
    <w:rsid w:val="009C3D9B"/>
    <w:rsid w:val="009C5C78"/>
    <w:rsid w:val="009C6FC2"/>
    <w:rsid w:val="009C757E"/>
    <w:rsid w:val="009D07F6"/>
    <w:rsid w:val="009D0DA0"/>
    <w:rsid w:val="009D3185"/>
    <w:rsid w:val="009D6E44"/>
    <w:rsid w:val="009E0E09"/>
    <w:rsid w:val="009E4B24"/>
    <w:rsid w:val="009F39C3"/>
    <w:rsid w:val="009F42C4"/>
    <w:rsid w:val="00A02A80"/>
    <w:rsid w:val="00A1006C"/>
    <w:rsid w:val="00A1201A"/>
    <w:rsid w:val="00A24771"/>
    <w:rsid w:val="00A27998"/>
    <w:rsid w:val="00A35BD9"/>
    <w:rsid w:val="00A44B3D"/>
    <w:rsid w:val="00A45B38"/>
    <w:rsid w:val="00A5350F"/>
    <w:rsid w:val="00A6094B"/>
    <w:rsid w:val="00A61FA2"/>
    <w:rsid w:val="00A65FC6"/>
    <w:rsid w:val="00A710DF"/>
    <w:rsid w:val="00A72C37"/>
    <w:rsid w:val="00A75F56"/>
    <w:rsid w:val="00A760F4"/>
    <w:rsid w:val="00A77011"/>
    <w:rsid w:val="00A837B9"/>
    <w:rsid w:val="00A84E7C"/>
    <w:rsid w:val="00A8542D"/>
    <w:rsid w:val="00A86DA3"/>
    <w:rsid w:val="00A92D7D"/>
    <w:rsid w:val="00AA2D7A"/>
    <w:rsid w:val="00AA7E25"/>
    <w:rsid w:val="00AB40B4"/>
    <w:rsid w:val="00AB5A9F"/>
    <w:rsid w:val="00AB5F75"/>
    <w:rsid w:val="00AC246C"/>
    <w:rsid w:val="00AC3775"/>
    <w:rsid w:val="00AC49F8"/>
    <w:rsid w:val="00AC6E84"/>
    <w:rsid w:val="00AC79E0"/>
    <w:rsid w:val="00AD16BC"/>
    <w:rsid w:val="00AD30ED"/>
    <w:rsid w:val="00AD3158"/>
    <w:rsid w:val="00AD42DD"/>
    <w:rsid w:val="00AE30E1"/>
    <w:rsid w:val="00AE4F75"/>
    <w:rsid w:val="00B02075"/>
    <w:rsid w:val="00B02939"/>
    <w:rsid w:val="00B04207"/>
    <w:rsid w:val="00B04491"/>
    <w:rsid w:val="00B05360"/>
    <w:rsid w:val="00B1632F"/>
    <w:rsid w:val="00B21CC9"/>
    <w:rsid w:val="00B377A0"/>
    <w:rsid w:val="00B40220"/>
    <w:rsid w:val="00B44FD2"/>
    <w:rsid w:val="00B46C9E"/>
    <w:rsid w:val="00B47E30"/>
    <w:rsid w:val="00B50F2D"/>
    <w:rsid w:val="00B55425"/>
    <w:rsid w:val="00B63F30"/>
    <w:rsid w:val="00B65290"/>
    <w:rsid w:val="00B67B07"/>
    <w:rsid w:val="00B71EA4"/>
    <w:rsid w:val="00B73159"/>
    <w:rsid w:val="00B74841"/>
    <w:rsid w:val="00B86156"/>
    <w:rsid w:val="00B86A2C"/>
    <w:rsid w:val="00B873ED"/>
    <w:rsid w:val="00BA0228"/>
    <w:rsid w:val="00BA3139"/>
    <w:rsid w:val="00BA6F11"/>
    <w:rsid w:val="00BB2518"/>
    <w:rsid w:val="00BB78DD"/>
    <w:rsid w:val="00BC5762"/>
    <w:rsid w:val="00BC679B"/>
    <w:rsid w:val="00BC6D54"/>
    <w:rsid w:val="00BD3D0D"/>
    <w:rsid w:val="00BD5CF8"/>
    <w:rsid w:val="00BD7355"/>
    <w:rsid w:val="00BE0D48"/>
    <w:rsid w:val="00BE5244"/>
    <w:rsid w:val="00BF2D5D"/>
    <w:rsid w:val="00BF5765"/>
    <w:rsid w:val="00C016C5"/>
    <w:rsid w:val="00C04493"/>
    <w:rsid w:val="00C04C37"/>
    <w:rsid w:val="00C12BA6"/>
    <w:rsid w:val="00C1641D"/>
    <w:rsid w:val="00C173CD"/>
    <w:rsid w:val="00C3154C"/>
    <w:rsid w:val="00C33EDF"/>
    <w:rsid w:val="00C34EDD"/>
    <w:rsid w:val="00C37F10"/>
    <w:rsid w:val="00C44558"/>
    <w:rsid w:val="00C45018"/>
    <w:rsid w:val="00C4511F"/>
    <w:rsid w:val="00C46CFA"/>
    <w:rsid w:val="00C60138"/>
    <w:rsid w:val="00C6233C"/>
    <w:rsid w:val="00C62496"/>
    <w:rsid w:val="00C70655"/>
    <w:rsid w:val="00C7513C"/>
    <w:rsid w:val="00C75371"/>
    <w:rsid w:val="00C77BF2"/>
    <w:rsid w:val="00C81DCB"/>
    <w:rsid w:val="00C83BB1"/>
    <w:rsid w:val="00C96416"/>
    <w:rsid w:val="00C974F2"/>
    <w:rsid w:val="00C97A30"/>
    <w:rsid w:val="00CA1111"/>
    <w:rsid w:val="00CA4F37"/>
    <w:rsid w:val="00CA735A"/>
    <w:rsid w:val="00CB1BDA"/>
    <w:rsid w:val="00CB5312"/>
    <w:rsid w:val="00CB58EE"/>
    <w:rsid w:val="00CC4BA7"/>
    <w:rsid w:val="00CD0CB4"/>
    <w:rsid w:val="00CD2678"/>
    <w:rsid w:val="00CD3AA8"/>
    <w:rsid w:val="00CE30F9"/>
    <w:rsid w:val="00CE352E"/>
    <w:rsid w:val="00CE7849"/>
    <w:rsid w:val="00CF2000"/>
    <w:rsid w:val="00CF31B7"/>
    <w:rsid w:val="00D0453B"/>
    <w:rsid w:val="00D07AAE"/>
    <w:rsid w:val="00D22C06"/>
    <w:rsid w:val="00D23E9F"/>
    <w:rsid w:val="00D34686"/>
    <w:rsid w:val="00D46C82"/>
    <w:rsid w:val="00D5477D"/>
    <w:rsid w:val="00D5598B"/>
    <w:rsid w:val="00D61842"/>
    <w:rsid w:val="00D67F2C"/>
    <w:rsid w:val="00D7139F"/>
    <w:rsid w:val="00D71D0C"/>
    <w:rsid w:val="00D81A09"/>
    <w:rsid w:val="00D84069"/>
    <w:rsid w:val="00D85436"/>
    <w:rsid w:val="00D94434"/>
    <w:rsid w:val="00D950C7"/>
    <w:rsid w:val="00DA3AB5"/>
    <w:rsid w:val="00DA4E18"/>
    <w:rsid w:val="00DB0817"/>
    <w:rsid w:val="00DB17DE"/>
    <w:rsid w:val="00DB5B02"/>
    <w:rsid w:val="00DC1DCE"/>
    <w:rsid w:val="00DC2D5E"/>
    <w:rsid w:val="00DC3B7D"/>
    <w:rsid w:val="00DD473F"/>
    <w:rsid w:val="00DD7463"/>
    <w:rsid w:val="00DF45C7"/>
    <w:rsid w:val="00DF7329"/>
    <w:rsid w:val="00E00014"/>
    <w:rsid w:val="00E00CE4"/>
    <w:rsid w:val="00E026F6"/>
    <w:rsid w:val="00E03709"/>
    <w:rsid w:val="00E03B10"/>
    <w:rsid w:val="00E1117A"/>
    <w:rsid w:val="00E17020"/>
    <w:rsid w:val="00E2054E"/>
    <w:rsid w:val="00E224E3"/>
    <w:rsid w:val="00E256EC"/>
    <w:rsid w:val="00E25D2F"/>
    <w:rsid w:val="00E26FFF"/>
    <w:rsid w:val="00E30FC9"/>
    <w:rsid w:val="00E31419"/>
    <w:rsid w:val="00E32566"/>
    <w:rsid w:val="00E32828"/>
    <w:rsid w:val="00E34BA6"/>
    <w:rsid w:val="00E36813"/>
    <w:rsid w:val="00E4047A"/>
    <w:rsid w:val="00E407E2"/>
    <w:rsid w:val="00E4086B"/>
    <w:rsid w:val="00E41B78"/>
    <w:rsid w:val="00E423D8"/>
    <w:rsid w:val="00E4475C"/>
    <w:rsid w:val="00E46B57"/>
    <w:rsid w:val="00E47CCF"/>
    <w:rsid w:val="00E56FA3"/>
    <w:rsid w:val="00E608DD"/>
    <w:rsid w:val="00E63700"/>
    <w:rsid w:val="00E72AA6"/>
    <w:rsid w:val="00E81A17"/>
    <w:rsid w:val="00E862DA"/>
    <w:rsid w:val="00E93450"/>
    <w:rsid w:val="00E95CE5"/>
    <w:rsid w:val="00EA0BC5"/>
    <w:rsid w:val="00EA1005"/>
    <w:rsid w:val="00EA52AD"/>
    <w:rsid w:val="00EA64CF"/>
    <w:rsid w:val="00EB2049"/>
    <w:rsid w:val="00EB3E90"/>
    <w:rsid w:val="00EB6D0F"/>
    <w:rsid w:val="00EB7776"/>
    <w:rsid w:val="00EB79D7"/>
    <w:rsid w:val="00EC2347"/>
    <w:rsid w:val="00EC25C6"/>
    <w:rsid w:val="00EC2ECC"/>
    <w:rsid w:val="00EC4213"/>
    <w:rsid w:val="00ED1EF7"/>
    <w:rsid w:val="00EE410F"/>
    <w:rsid w:val="00EF3CF4"/>
    <w:rsid w:val="00EF7263"/>
    <w:rsid w:val="00F00619"/>
    <w:rsid w:val="00F04528"/>
    <w:rsid w:val="00F13BD3"/>
    <w:rsid w:val="00F2174A"/>
    <w:rsid w:val="00F24DDC"/>
    <w:rsid w:val="00F2641B"/>
    <w:rsid w:val="00F274E4"/>
    <w:rsid w:val="00F312F2"/>
    <w:rsid w:val="00F324A7"/>
    <w:rsid w:val="00F44906"/>
    <w:rsid w:val="00F553C4"/>
    <w:rsid w:val="00F629C2"/>
    <w:rsid w:val="00F7221F"/>
    <w:rsid w:val="00F7354E"/>
    <w:rsid w:val="00F8152C"/>
    <w:rsid w:val="00F81F63"/>
    <w:rsid w:val="00F903C1"/>
    <w:rsid w:val="00F93C96"/>
    <w:rsid w:val="00F961B7"/>
    <w:rsid w:val="00F96378"/>
    <w:rsid w:val="00FA1C90"/>
    <w:rsid w:val="00FA2104"/>
    <w:rsid w:val="00FA58A4"/>
    <w:rsid w:val="00FA6403"/>
    <w:rsid w:val="00FB3289"/>
    <w:rsid w:val="00FB3AC5"/>
    <w:rsid w:val="00FB66D8"/>
    <w:rsid w:val="00FD25F9"/>
    <w:rsid w:val="00FD374C"/>
    <w:rsid w:val="00FE4024"/>
    <w:rsid w:val="00FE7984"/>
    <w:rsid w:val="00FF10F2"/>
    <w:rsid w:val="00FF16D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A75AF9A"/>
  <w15:docId w15:val="{01D6CB55-0526-4989-A15E-D2A1ED11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EastAsia" w:hAnsi="Courier"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325"/>
    <w:pPr>
      <w:widowControl w:val="0"/>
      <w:suppressAutoHyphens/>
      <w:autoSpaceDE w:val="0"/>
      <w:autoSpaceDN w:val="0"/>
      <w:adjustRightInd w:val="0"/>
      <w:spacing w:after="180" w:line="280" w:lineRule="atLeast"/>
      <w:textAlignment w:val="center"/>
    </w:pPr>
    <w:rPr>
      <w:rFonts w:asciiTheme="majorHAnsi" w:hAnsiTheme="majorHAnsi" w:cstheme="majorHAnsi"/>
      <w:color w:val="000000"/>
      <w:sz w:val="23"/>
      <w:szCs w:val="23"/>
      <w:lang w:eastAsia="en-US"/>
    </w:rPr>
  </w:style>
  <w:style w:type="paragraph" w:styleId="Heading1">
    <w:name w:val="heading 1"/>
    <w:aliases w:val="FS Title"/>
    <w:next w:val="Normal"/>
    <w:link w:val="Heading1Char"/>
    <w:autoRedefine/>
    <w:uiPriority w:val="6"/>
    <w:qFormat/>
    <w:rsid w:val="001B361D"/>
    <w:pPr>
      <w:spacing w:before="180" w:after="120" w:line="276" w:lineRule="auto"/>
      <w:jc w:val="center"/>
      <w:outlineLvl w:val="0"/>
    </w:pPr>
    <w:rPr>
      <w:rFonts w:ascii="Myriad Pro" w:hAnsi="Myriad Pro" w:cs="ProximaNova-Bold"/>
      <w:b/>
      <w:color w:val="014868"/>
      <w:sz w:val="48"/>
      <w:szCs w:val="48"/>
      <w:lang w:val="en-GB"/>
    </w:rPr>
  </w:style>
  <w:style w:type="paragraph" w:styleId="Heading2">
    <w:name w:val="heading 2"/>
    <w:aliases w:val="H1"/>
    <w:basedOn w:val="Normal"/>
    <w:next w:val="Normal"/>
    <w:link w:val="Heading2Char"/>
    <w:uiPriority w:val="9"/>
    <w:unhideWhenUsed/>
    <w:qFormat/>
    <w:rsid w:val="00BE5244"/>
    <w:pPr>
      <w:outlineLvl w:val="1"/>
    </w:pPr>
    <w:rPr>
      <w:b/>
      <w:color w:val="014868"/>
      <w:sz w:val="38"/>
      <w:szCs w:val="38"/>
    </w:rPr>
  </w:style>
  <w:style w:type="paragraph" w:styleId="Heading3">
    <w:name w:val="heading 3"/>
    <w:aliases w:val="H2"/>
    <w:basedOn w:val="Normal"/>
    <w:next w:val="Normal"/>
    <w:link w:val="Heading3Char"/>
    <w:uiPriority w:val="9"/>
    <w:unhideWhenUsed/>
    <w:qFormat/>
    <w:rsid w:val="00BE5244"/>
    <w:pPr>
      <w:outlineLvl w:val="2"/>
    </w:pPr>
    <w:rPr>
      <w:b/>
      <w:color w:val="014868"/>
      <w:sz w:val="32"/>
      <w:szCs w:val="32"/>
    </w:rPr>
  </w:style>
  <w:style w:type="paragraph" w:styleId="Heading4">
    <w:name w:val="heading 4"/>
    <w:aliases w:val="H3"/>
    <w:basedOn w:val="Normal"/>
    <w:next w:val="Normal"/>
    <w:link w:val="Heading4Char"/>
    <w:uiPriority w:val="9"/>
    <w:unhideWhenUsed/>
    <w:qFormat/>
    <w:rsid w:val="00904B84"/>
    <w:pPr>
      <w:outlineLvl w:val="3"/>
    </w:pPr>
    <w:rPr>
      <w:b/>
      <w:i/>
      <w:color w:val="014868"/>
      <w:sz w:val="28"/>
      <w:szCs w:val="28"/>
    </w:rPr>
  </w:style>
  <w:style w:type="paragraph" w:styleId="Heading5">
    <w:name w:val="heading 5"/>
    <w:basedOn w:val="Heading3"/>
    <w:next w:val="Normal"/>
    <w:link w:val="Heading5Char"/>
    <w:uiPriority w:val="9"/>
    <w:unhideWhenUsed/>
    <w:rsid w:val="00D7139F"/>
    <w:pPr>
      <w:outlineLvl w:val="4"/>
    </w:pPr>
    <w:rPr>
      <w:b w:val="0"/>
      <w:i/>
      <w:color w:val="AAA38E" w:themeColor="background2"/>
      <w:sz w:val="26"/>
      <w:szCs w:val="26"/>
    </w:rPr>
  </w:style>
  <w:style w:type="paragraph" w:styleId="Heading6">
    <w:name w:val="heading 6"/>
    <w:basedOn w:val="Normal"/>
    <w:next w:val="Normal"/>
    <w:link w:val="Heading6Char"/>
    <w:uiPriority w:val="9"/>
    <w:unhideWhenUsed/>
    <w:rsid w:val="006078B5"/>
    <w:pPr>
      <w:spacing w:after="120" w:line="220" w:lineRule="atLeast"/>
      <w:outlineLvl w:val="5"/>
    </w:pPr>
    <w:rPr>
      <w:rFonts w:ascii="ProximaNova-Bold" w:hAnsi="ProximaNova-Bold" w:cs="ProximaNova-Bold"/>
      <w:bCs/>
      <w:caps/>
      <w:color w:val="6981A4"/>
      <w:sz w:val="24"/>
      <w:szCs w:val="24"/>
    </w:rPr>
  </w:style>
  <w:style w:type="paragraph" w:styleId="Heading7">
    <w:name w:val="heading 7"/>
    <w:basedOn w:val="Heading5"/>
    <w:next w:val="Normal"/>
    <w:link w:val="Heading7Char"/>
    <w:uiPriority w:val="9"/>
    <w:unhideWhenUsed/>
    <w:rsid w:val="00F93C96"/>
    <w:pPr>
      <w:spacing w:after="0"/>
      <w:outlineLvl w:val="6"/>
    </w:pPr>
  </w:style>
  <w:style w:type="paragraph" w:styleId="Heading8">
    <w:name w:val="heading 8"/>
    <w:basedOn w:val="Normal"/>
    <w:next w:val="Normal"/>
    <w:link w:val="Heading8Char"/>
    <w:uiPriority w:val="9"/>
    <w:unhideWhenUsed/>
    <w:rsid w:val="00890476"/>
    <w:pPr>
      <w:jc w:val="center"/>
      <w:outlineLvl w:val="7"/>
    </w:pPr>
    <w:rPr>
      <w:rFonts w:ascii="ProximaNova-Bold" w:hAnsi="ProximaNova-Bold" w:cs="ProximaNova-Bold"/>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 Title Char"/>
    <w:basedOn w:val="DefaultParagraphFont"/>
    <w:link w:val="Heading1"/>
    <w:uiPriority w:val="6"/>
    <w:rsid w:val="00B377A0"/>
    <w:rPr>
      <w:rFonts w:ascii="Myriad Pro" w:hAnsi="Myriad Pro" w:cs="ProximaNova-Bold"/>
      <w:b/>
      <w:color w:val="014868"/>
      <w:sz w:val="48"/>
      <w:szCs w:val="48"/>
      <w:lang w:val="en-GB"/>
    </w:rPr>
  </w:style>
  <w:style w:type="character" w:customStyle="1" w:styleId="Heading2Char">
    <w:name w:val="Heading 2 Char"/>
    <w:aliases w:val="H1 Char"/>
    <w:basedOn w:val="DefaultParagraphFont"/>
    <w:link w:val="Heading2"/>
    <w:uiPriority w:val="9"/>
    <w:rsid w:val="00BE5244"/>
    <w:rPr>
      <w:rFonts w:ascii="Myriad Pro" w:hAnsi="Myriad Pro" w:cs="TimesNewRomanPSMT"/>
      <w:b/>
      <w:color w:val="014868"/>
      <w:sz w:val="38"/>
      <w:szCs w:val="38"/>
      <w:lang w:val="en-GB"/>
    </w:rPr>
  </w:style>
  <w:style w:type="character" w:customStyle="1" w:styleId="Heading3Char">
    <w:name w:val="Heading 3 Char"/>
    <w:aliases w:val="H2 Char"/>
    <w:basedOn w:val="DefaultParagraphFont"/>
    <w:link w:val="Heading3"/>
    <w:uiPriority w:val="9"/>
    <w:rsid w:val="00BE5244"/>
    <w:rPr>
      <w:rFonts w:ascii="Myriad Pro" w:hAnsi="Myriad Pro" w:cs="TimesNewRomanPSMT"/>
      <w:b/>
      <w:color w:val="014868"/>
      <w:sz w:val="32"/>
      <w:szCs w:val="32"/>
      <w:lang w:val="en-GB"/>
    </w:rPr>
  </w:style>
  <w:style w:type="character" w:customStyle="1" w:styleId="Heading4Char">
    <w:name w:val="Heading 4 Char"/>
    <w:aliases w:val="H3 Char"/>
    <w:basedOn w:val="DefaultParagraphFont"/>
    <w:link w:val="Heading4"/>
    <w:uiPriority w:val="9"/>
    <w:rsid w:val="00904B84"/>
    <w:rPr>
      <w:rFonts w:ascii="Myriad Pro" w:hAnsi="Myriad Pro" w:cs="TimesNewRomanPSMT"/>
      <w:b/>
      <w:i/>
      <w:color w:val="014868"/>
      <w:sz w:val="28"/>
      <w:szCs w:val="28"/>
      <w:lang w:val="en-GB"/>
    </w:rPr>
  </w:style>
  <w:style w:type="character" w:customStyle="1" w:styleId="Heading5Char">
    <w:name w:val="Heading 5 Char"/>
    <w:basedOn w:val="DefaultParagraphFont"/>
    <w:link w:val="Heading5"/>
    <w:uiPriority w:val="9"/>
    <w:rsid w:val="00D7139F"/>
    <w:rPr>
      <w:rFonts w:ascii="ProximaNova-Bold" w:hAnsi="ProximaNova-Bold" w:cs="ProximaNova-Bold"/>
      <w:b/>
      <w:color w:val="AAA38E" w:themeColor="background2"/>
      <w:sz w:val="26"/>
      <w:szCs w:val="26"/>
      <w:lang w:val="en-GB"/>
    </w:rPr>
  </w:style>
  <w:style w:type="character" w:customStyle="1" w:styleId="Heading6Char">
    <w:name w:val="Heading 6 Char"/>
    <w:basedOn w:val="DefaultParagraphFont"/>
    <w:link w:val="Heading6"/>
    <w:uiPriority w:val="9"/>
    <w:rsid w:val="006078B5"/>
    <w:rPr>
      <w:rFonts w:ascii="ProximaNova-Bold" w:hAnsi="ProximaNova-Bold" w:cs="ProximaNova-Bold"/>
      <w:bCs/>
      <w:caps/>
      <w:color w:val="6981A4"/>
      <w:sz w:val="24"/>
      <w:szCs w:val="24"/>
      <w:lang w:val="en-GB"/>
    </w:rPr>
  </w:style>
  <w:style w:type="character" w:customStyle="1" w:styleId="Heading7Char">
    <w:name w:val="Heading 7 Char"/>
    <w:basedOn w:val="DefaultParagraphFont"/>
    <w:link w:val="Heading7"/>
    <w:uiPriority w:val="9"/>
    <w:rsid w:val="00F93C96"/>
    <w:rPr>
      <w:rFonts w:ascii="ProximaNova-Bold" w:hAnsi="ProximaNova-Bold" w:cs="ProximaNova-Bold"/>
      <w:bCs/>
      <w:caps/>
      <w:color w:val="6981A4" w:themeColor="text2"/>
      <w:spacing w:val="4"/>
      <w:lang w:val="en-GB"/>
    </w:rPr>
  </w:style>
  <w:style w:type="character" w:customStyle="1" w:styleId="Heading8Char">
    <w:name w:val="Heading 8 Char"/>
    <w:basedOn w:val="DefaultParagraphFont"/>
    <w:link w:val="Heading8"/>
    <w:uiPriority w:val="9"/>
    <w:rsid w:val="00890476"/>
    <w:rPr>
      <w:rFonts w:ascii="ProximaNova-Bold" w:hAnsi="ProximaNova-Bold" w:cs="ProximaNova-Bold"/>
      <w:bCs/>
      <w:color w:val="FFFFFF"/>
      <w:sz w:val="22"/>
      <w:szCs w:val="22"/>
      <w:lang w:val="en-GB"/>
    </w:rPr>
  </w:style>
  <w:style w:type="paragraph" w:styleId="Header">
    <w:name w:val="header"/>
    <w:basedOn w:val="Normal"/>
    <w:link w:val="HeaderChar"/>
    <w:uiPriority w:val="99"/>
    <w:unhideWhenUsed/>
    <w:rsid w:val="00F815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8152C"/>
    <w:rPr>
      <w:rFonts w:ascii="TimesNewRomanPSMT" w:hAnsi="TimesNewRomanPSMT" w:cs="TimesNewRomanPSMT"/>
      <w:color w:val="000000"/>
      <w:sz w:val="22"/>
      <w:szCs w:val="22"/>
      <w:lang w:val="en-GB"/>
    </w:rPr>
  </w:style>
  <w:style w:type="paragraph" w:customStyle="1" w:styleId="BYLINE">
    <w:name w:val="BY LINE"/>
    <w:basedOn w:val="Normal"/>
    <w:uiPriority w:val="99"/>
    <w:rsid w:val="00506099"/>
    <w:pPr>
      <w:pBdr>
        <w:top w:val="single" w:sz="2" w:space="13" w:color="193AB2"/>
        <w:bottom w:val="single" w:sz="2" w:space="4" w:color="193AB2"/>
      </w:pBdr>
      <w:spacing w:before="360" w:after="540" w:line="360" w:lineRule="auto"/>
    </w:pPr>
    <w:rPr>
      <w:caps/>
      <w:color w:val="6981A4" w:themeColor="text2"/>
      <w:spacing w:val="3"/>
      <w:position w:val="4"/>
      <w:sz w:val="16"/>
      <w:szCs w:val="16"/>
    </w:rPr>
  </w:style>
  <w:style w:type="character" w:customStyle="1" w:styleId="Bold">
    <w:name w:val="Bold"/>
    <w:uiPriority w:val="99"/>
    <w:rsid w:val="0034221D"/>
    <w:rPr>
      <w:b/>
      <w:bCs/>
    </w:rPr>
  </w:style>
  <w:style w:type="paragraph" w:styleId="Footer">
    <w:name w:val="footer"/>
    <w:link w:val="FooterChar"/>
    <w:unhideWhenUsed/>
    <w:rsid w:val="00E31419"/>
    <w:pPr>
      <w:jc w:val="right"/>
    </w:pPr>
    <w:rPr>
      <w:rFonts w:ascii="Proxima Nova Bold" w:hAnsi="Proxima Nova Bold" w:cs="ProximaNova-LightIt"/>
      <w:color w:val="6981A4" w:themeColor="text2"/>
      <w:sz w:val="16"/>
      <w:szCs w:val="16"/>
      <w:lang w:val="en-GB"/>
    </w:rPr>
  </w:style>
  <w:style w:type="character" w:customStyle="1" w:styleId="FooterChar">
    <w:name w:val="Footer Char"/>
    <w:basedOn w:val="DefaultParagraphFont"/>
    <w:link w:val="Footer"/>
    <w:uiPriority w:val="99"/>
    <w:rsid w:val="00E31419"/>
    <w:rPr>
      <w:rFonts w:ascii="Proxima Nova Bold" w:hAnsi="Proxima Nova Bold" w:cs="ProximaNova-LightIt"/>
      <w:color w:val="6981A4" w:themeColor="text2"/>
      <w:sz w:val="16"/>
      <w:szCs w:val="16"/>
      <w:lang w:val="en-GB"/>
    </w:rPr>
  </w:style>
  <w:style w:type="paragraph" w:styleId="BalloonText">
    <w:name w:val="Balloon Text"/>
    <w:basedOn w:val="Normal"/>
    <w:link w:val="BalloonTextChar"/>
    <w:uiPriority w:val="99"/>
    <w:semiHidden/>
    <w:unhideWhenUsed/>
    <w:rsid w:val="003422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21D"/>
    <w:rPr>
      <w:rFonts w:ascii="Lucida Grande" w:hAnsi="Lucida Grande" w:cs="Lucida Grande"/>
      <w:sz w:val="18"/>
      <w:szCs w:val="18"/>
    </w:rPr>
  </w:style>
  <w:style w:type="character" w:customStyle="1" w:styleId="Italic">
    <w:name w:val="Italic"/>
    <w:uiPriority w:val="99"/>
    <w:rsid w:val="00A75F56"/>
    <w:rPr>
      <w:i/>
      <w:iCs/>
    </w:rPr>
  </w:style>
  <w:style w:type="paragraph" w:styleId="ListBullet3">
    <w:name w:val="List Bullet 3"/>
    <w:basedOn w:val="Normal"/>
    <w:uiPriority w:val="99"/>
    <w:unhideWhenUsed/>
    <w:rsid w:val="00890476"/>
    <w:pPr>
      <w:numPr>
        <w:numId w:val="3"/>
      </w:numPr>
      <w:tabs>
        <w:tab w:val="left" w:pos="180"/>
      </w:tabs>
      <w:ind w:left="144" w:hanging="144"/>
    </w:pPr>
  </w:style>
  <w:style w:type="paragraph" w:customStyle="1" w:styleId="FigureTitle">
    <w:name w:val="Figure Title"/>
    <w:basedOn w:val="Normal"/>
    <w:uiPriority w:val="99"/>
    <w:rsid w:val="000C2995"/>
    <w:rPr>
      <w:rFonts w:ascii="Times New Roman" w:hAnsi="Times New Roman" w:cs="Times New Roman"/>
      <w:b/>
      <w:bCs/>
      <w:i/>
      <w:iCs/>
      <w:color w:val="6981A4" w:themeColor="text2"/>
      <w:sz w:val="20"/>
      <w:szCs w:val="20"/>
    </w:rPr>
  </w:style>
  <w:style w:type="paragraph" w:customStyle="1" w:styleId="FigureContinuation">
    <w:name w:val="Figure Continuation"/>
    <w:basedOn w:val="Normal"/>
    <w:uiPriority w:val="99"/>
    <w:rsid w:val="000C2995"/>
    <w:rPr>
      <w:rFonts w:ascii="Times New Roman" w:hAnsi="Times New Roman" w:cs="Times New Roman"/>
      <w:i/>
      <w:iCs/>
      <w:color w:val="6981A4" w:themeColor="text2"/>
      <w:sz w:val="20"/>
      <w:szCs w:val="20"/>
    </w:rPr>
  </w:style>
  <w:style w:type="character" w:customStyle="1" w:styleId="BoldItalic">
    <w:name w:val="Bold Italic"/>
    <w:uiPriority w:val="99"/>
    <w:rsid w:val="002F6F9C"/>
    <w:rPr>
      <w:b/>
      <w:bCs/>
      <w:i/>
      <w:iCs/>
    </w:rPr>
  </w:style>
  <w:style w:type="paragraph" w:styleId="ListParagraph">
    <w:name w:val="List Paragraph"/>
    <w:basedOn w:val="Normal"/>
    <w:uiPriority w:val="34"/>
    <w:qFormat/>
    <w:rsid w:val="003D54AD"/>
    <w:pPr>
      <w:ind w:left="720"/>
      <w:contextualSpacing/>
    </w:pPr>
  </w:style>
  <w:style w:type="paragraph" w:styleId="List">
    <w:name w:val="List"/>
    <w:basedOn w:val="Normal"/>
    <w:uiPriority w:val="99"/>
    <w:unhideWhenUsed/>
    <w:rsid w:val="00A837B9"/>
    <w:pPr>
      <w:numPr>
        <w:numId w:val="7"/>
      </w:numPr>
      <w:spacing w:after="60"/>
      <w:ind w:right="634"/>
    </w:pPr>
  </w:style>
  <w:style w:type="paragraph" w:styleId="List2">
    <w:name w:val="List 2"/>
    <w:basedOn w:val="Normal"/>
    <w:uiPriority w:val="99"/>
    <w:unhideWhenUsed/>
    <w:rsid w:val="00A837B9"/>
    <w:pPr>
      <w:numPr>
        <w:numId w:val="1"/>
      </w:numPr>
      <w:spacing w:after="60"/>
      <w:ind w:right="634"/>
    </w:pPr>
  </w:style>
  <w:style w:type="paragraph" w:styleId="List3">
    <w:name w:val="List 3"/>
    <w:basedOn w:val="Normal"/>
    <w:uiPriority w:val="99"/>
    <w:unhideWhenUsed/>
    <w:rsid w:val="00225286"/>
    <w:pPr>
      <w:numPr>
        <w:numId w:val="2"/>
      </w:numPr>
      <w:spacing w:after="60"/>
      <w:ind w:right="634"/>
    </w:pPr>
  </w:style>
  <w:style w:type="paragraph" w:styleId="ListBullet4">
    <w:name w:val="List Bullet 4"/>
    <w:basedOn w:val="Normal"/>
    <w:uiPriority w:val="99"/>
    <w:unhideWhenUsed/>
    <w:rsid w:val="00890476"/>
    <w:pPr>
      <w:numPr>
        <w:numId w:val="4"/>
      </w:numPr>
    </w:pPr>
  </w:style>
  <w:style w:type="paragraph" w:styleId="ListBullet">
    <w:name w:val="List Bullet"/>
    <w:uiPriority w:val="99"/>
    <w:unhideWhenUsed/>
    <w:rsid w:val="009C757E"/>
    <w:pPr>
      <w:numPr>
        <w:numId w:val="5"/>
      </w:numPr>
      <w:spacing w:after="60"/>
      <w:ind w:left="576"/>
    </w:pPr>
    <w:rPr>
      <w:rFonts w:ascii="Times New Roman" w:hAnsi="Times New Roman" w:cs="Times New Roman"/>
      <w:color w:val="000000" w:themeColor="text1"/>
      <w:sz w:val="22"/>
      <w:szCs w:val="22"/>
      <w:lang w:val="en-GB"/>
    </w:rPr>
  </w:style>
  <w:style w:type="paragraph" w:customStyle="1" w:styleId="NoteLevel1">
    <w:name w:val="Note Level 1"/>
    <w:uiPriority w:val="99"/>
    <w:unhideWhenUsed/>
    <w:rsid w:val="00F93C96"/>
    <w:pPr>
      <w:spacing w:before="240" w:line="220" w:lineRule="atLeast"/>
    </w:pPr>
    <w:rPr>
      <w:rFonts w:ascii="Times New Roman" w:hAnsi="Times New Roman" w:cs="Times New Roman"/>
      <w:i/>
      <w:color w:val="000000" w:themeColor="text1"/>
      <w:sz w:val="18"/>
      <w:szCs w:val="22"/>
      <w:lang w:val="en-GB"/>
    </w:rPr>
  </w:style>
  <w:style w:type="paragraph" w:styleId="ListNumber">
    <w:name w:val="List Number"/>
    <w:basedOn w:val="Normal"/>
    <w:uiPriority w:val="99"/>
    <w:unhideWhenUsed/>
    <w:rsid w:val="00AA2D7A"/>
    <w:pPr>
      <w:numPr>
        <w:numId w:val="8"/>
      </w:numPr>
      <w:spacing w:after="60"/>
    </w:pPr>
    <w:rPr>
      <w:rFonts w:ascii="Times New Roman" w:hAnsi="Times New Roman" w:cs="Times New Roman"/>
      <w:color w:val="000000" w:themeColor="text1"/>
    </w:rPr>
  </w:style>
  <w:style w:type="character" w:customStyle="1" w:styleId="BoldSmallCaps">
    <w:name w:val="Bold Small Caps"/>
    <w:basedOn w:val="Bold"/>
    <w:uiPriority w:val="1"/>
    <w:qFormat/>
    <w:rsid w:val="005371AA"/>
    <w:rPr>
      <w:b/>
      <w:bCs/>
      <w:caps w:val="0"/>
      <w:smallCaps/>
      <w:vanish w:val="0"/>
      <w:sz w:val="20"/>
      <w:szCs w:val="20"/>
    </w:rPr>
  </w:style>
  <w:style w:type="table" w:styleId="TableColumns2">
    <w:name w:val="Table Columns 2"/>
    <w:basedOn w:val="TableNormal"/>
    <w:uiPriority w:val="99"/>
    <w:semiHidden/>
    <w:unhideWhenUsed/>
    <w:rsid w:val="00284E95"/>
    <w:pPr>
      <w:widowControl w:val="0"/>
      <w:suppressAutoHyphens/>
      <w:autoSpaceDE w:val="0"/>
      <w:autoSpaceDN w:val="0"/>
      <w:adjustRightInd w:val="0"/>
      <w:spacing w:after="180" w:line="280" w:lineRule="atLeast"/>
      <w:textAlignment w:val="center"/>
    </w:pPr>
    <w:rPr>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orful1">
    <w:name w:val="Table Colorful 1"/>
    <w:basedOn w:val="TableNormal"/>
    <w:uiPriority w:val="99"/>
    <w:semiHidden/>
    <w:unhideWhenUsed/>
    <w:rsid w:val="00284E95"/>
    <w:pPr>
      <w:widowControl w:val="0"/>
      <w:suppressAutoHyphens/>
      <w:autoSpaceDE w:val="0"/>
      <w:autoSpaceDN w:val="0"/>
      <w:adjustRightInd w:val="0"/>
      <w:spacing w:after="180" w:line="280" w:lineRule="atLeast"/>
      <w:textAlignment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MingLiU-ExtB" w:hAnsi="MingLiU-ExtB"/>
        <w:b w:val="0"/>
        <w:bCs w:val="0"/>
        <w:i w:val="0"/>
        <w:iCs w:val="0"/>
        <w:color w:val="FFFFFF" w:themeColor="background1"/>
        <w:sz w:val="24"/>
        <w:szCs w:val="24"/>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paragraph" w:styleId="ListBullet2">
    <w:name w:val="List Bullet 2"/>
    <w:uiPriority w:val="99"/>
    <w:unhideWhenUsed/>
    <w:rsid w:val="00890476"/>
    <w:pPr>
      <w:numPr>
        <w:numId w:val="6"/>
      </w:numPr>
      <w:spacing w:after="60"/>
      <w:ind w:left="792" w:hanging="288"/>
    </w:pPr>
    <w:rPr>
      <w:rFonts w:ascii="Times New Roman" w:hAnsi="Times New Roman" w:cs="Times New Roman"/>
      <w:color w:val="000000" w:themeColor="text1"/>
      <w:sz w:val="22"/>
      <w:szCs w:val="22"/>
      <w:lang w:val="en-GB"/>
    </w:rPr>
  </w:style>
  <w:style w:type="character" w:styleId="Hyperlink">
    <w:name w:val="Hyperlink"/>
    <w:uiPriority w:val="99"/>
    <w:unhideWhenUsed/>
    <w:qFormat/>
    <w:rsid w:val="00C81DCB"/>
    <w:rPr>
      <w:b/>
      <w:color w:val="014868"/>
      <w:u w:val="none" w:color="094DE6"/>
      <w:lang w:val="en-US"/>
    </w:rPr>
  </w:style>
  <w:style w:type="character" w:styleId="FollowedHyperlink">
    <w:name w:val="FollowedHyperlink"/>
    <w:basedOn w:val="DefaultParagraphFont"/>
    <w:uiPriority w:val="99"/>
    <w:semiHidden/>
    <w:unhideWhenUsed/>
    <w:rsid w:val="00F93C96"/>
    <w:rPr>
      <w:color w:val="641F45" w:themeColor="followedHyperlink"/>
      <w:u w:val="single"/>
    </w:rPr>
  </w:style>
  <w:style w:type="paragraph" w:styleId="FootnoteText">
    <w:name w:val="footnote text"/>
    <w:basedOn w:val="Normal"/>
    <w:link w:val="FootnoteTextChar"/>
    <w:uiPriority w:val="99"/>
    <w:unhideWhenUsed/>
    <w:rsid w:val="00890476"/>
    <w:pPr>
      <w:spacing w:after="0" w:line="240" w:lineRule="auto"/>
    </w:pPr>
    <w:rPr>
      <w:rFonts w:ascii="Arial" w:hAnsi="Arial"/>
      <w:sz w:val="18"/>
      <w:szCs w:val="24"/>
    </w:rPr>
  </w:style>
  <w:style w:type="character" w:customStyle="1" w:styleId="FootnoteTextChar">
    <w:name w:val="Footnote Text Char"/>
    <w:basedOn w:val="DefaultParagraphFont"/>
    <w:link w:val="FootnoteText"/>
    <w:uiPriority w:val="99"/>
    <w:rsid w:val="00890476"/>
    <w:rPr>
      <w:rFonts w:ascii="Arial" w:hAnsi="Arial" w:cs="TimesNewRomanPSMT"/>
      <w:color w:val="000000"/>
      <w:sz w:val="18"/>
      <w:szCs w:val="24"/>
      <w:lang w:val="en-GB"/>
    </w:rPr>
  </w:style>
  <w:style w:type="character" w:styleId="FootnoteReference">
    <w:name w:val="footnote reference"/>
    <w:basedOn w:val="DefaultParagraphFont"/>
    <w:uiPriority w:val="99"/>
    <w:unhideWhenUsed/>
    <w:rsid w:val="00890476"/>
    <w:rPr>
      <w:vertAlign w:val="superscript"/>
    </w:rPr>
  </w:style>
  <w:style w:type="paragraph" w:customStyle="1" w:styleId="NoParagraphStyle">
    <w:name w:val="[No Paragraph Style]"/>
    <w:rsid w:val="001B7D8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table" w:styleId="TableGrid">
    <w:name w:val="Table Grid"/>
    <w:basedOn w:val="TableNormal"/>
    <w:uiPriority w:val="39"/>
    <w:rsid w:val="00F24DDC"/>
    <w:rPr>
      <w:rFonts w:asciiTheme="minorHAnsi" w:eastAsiaTheme="minorHAnsi"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820F0C"/>
    <w:tblPr>
      <w:tblStyleRowBandSize w:val="1"/>
      <w:tblStyleColBandSize w:val="1"/>
      <w:tblBorders>
        <w:top w:val="single" w:sz="8" w:space="0" w:color="A4ADC6" w:themeColor="accent1"/>
        <w:left w:val="single" w:sz="8" w:space="0" w:color="A4ADC6" w:themeColor="accent1"/>
        <w:bottom w:val="single" w:sz="8" w:space="0" w:color="A4ADC6" w:themeColor="accent1"/>
        <w:right w:val="single" w:sz="8" w:space="0" w:color="A4ADC6" w:themeColor="accent1"/>
        <w:insideH w:val="single" w:sz="8" w:space="0" w:color="A4ADC6" w:themeColor="accent1"/>
        <w:insideV w:val="single" w:sz="8" w:space="0" w:color="A4AD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ADC6" w:themeColor="accent1"/>
          <w:left w:val="single" w:sz="8" w:space="0" w:color="A4ADC6" w:themeColor="accent1"/>
          <w:bottom w:val="single" w:sz="18" w:space="0" w:color="A4ADC6" w:themeColor="accent1"/>
          <w:right w:val="single" w:sz="8" w:space="0" w:color="A4ADC6" w:themeColor="accent1"/>
          <w:insideH w:val="nil"/>
          <w:insideV w:val="single" w:sz="8" w:space="0" w:color="A4AD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ADC6" w:themeColor="accent1"/>
          <w:left w:val="single" w:sz="8" w:space="0" w:color="A4ADC6" w:themeColor="accent1"/>
          <w:bottom w:val="single" w:sz="8" w:space="0" w:color="A4ADC6" w:themeColor="accent1"/>
          <w:right w:val="single" w:sz="8" w:space="0" w:color="A4ADC6" w:themeColor="accent1"/>
          <w:insideH w:val="nil"/>
          <w:insideV w:val="single" w:sz="8" w:space="0" w:color="A4AD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ADC6" w:themeColor="accent1"/>
          <w:left w:val="single" w:sz="8" w:space="0" w:color="A4ADC6" w:themeColor="accent1"/>
          <w:bottom w:val="single" w:sz="8" w:space="0" w:color="A4ADC6" w:themeColor="accent1"/>
          <w:right w:val="single" w:sz="8" w:space="0" w:color="A4ADC6" w:themeColor="accent1"/>
        </w:tcBorders>
      </w:tcPr>
    </w:tblStylePr>
    <w:tblStylePr w:type="band1Vert">
      <w:tblPr/>
      <w:tcPr>
        <w:tcBorders>
          <w:top w:val="single" w:sz="8" w:space="0" w:color="A4ADC6" w:themeColor="accent1"/>
          <w:left w:val="single" w:sz="8" w:space="0" w:color="A4ADC6" w:themeColor="accent1"/>
          <w:bottom w:val="single" w:sz="8" w:space="0" w:color="A4ADC6" w:themeColor="accent1"/>
          <w:right w:val="single" w:sz="8" w:space="0" w:color="A4ADC6" w:themeColor="accent1"/>
        </w:tcBorders>
        <w:shd w:val="clear" w:color="auto" w:fill="E8EAF1" w:themeFill="accent1" w:themeFillTint="3F"/>
      </w:tcPr>
    </w:tblStylePr>
    <w:tblStylePr w:type="band1Horz">
      <w:tblPr/>
      <w:tcPr>
        <w:tcBorders>
          <w:top w:val="single" w:sz="8" w:space="0" w:color="A4ADC6" w:themeColor="accent1"/>
          <w:left w:val="single" w:sz="8" w:space="0" w:color="A4ADC6" w:themeColor="accent1"/>
          <w:bottom w:val="single" w:sz="8" w:space="0" w:color="A4ADC6" w:themeColor="accent1"/>
          <w:right w:val="single" w:sz="8" w:space="0" w:color="A4ADC6" w:themeColor="accent1"/>
          <w:insideV w:val="single" w:sz="8" w:space="0" w:color="A4ADC6" w:themeColor="accent1"/>
        </w:tcBorders>
        <w:shd w:val="clear" w:color="auto" w:fill="E8EAF1" w:themeFill="accent1" w:themeFillTint="3F"/>
      </w:tcPr>
    </w:tblStylePr>
    <w:tblStylePr w:type="band2Horz">
      <w:tblPr/>
      <w:tcPr>
        <w:tcBorders>
          <w:top w:val="single" w:sz="8" w:space="0" w:color="A4ADC6" w:themeColor="accent1"/>
          <w:left w:val="single" w:sz="8" w:space="0" w:color="A4ADC6" w:themeColor="accent1"/>
          <w:bottom w:val="single" w:sz="8" w:space="0" w:color="A4ADC6" w:themeColor="accent1"/>
          <w:right w:val="single" w:sz="8" w:space="0" w:color="A4ADC6" w:themeColor="accent1"/>
          <w:insideV w:val="single" w:sz="8" w:space="0" w:color="A4ADC6" w:themeColor="accent1"/>
        </w:tcBorders>
      </w:tcPr>
    </w:tblStylePr>
  </w:style>
  <w:style w:type="paragraph" w:styleId="EndnoteText">
    <w:name w:val="endnote text"/>
    <w:basedOn w:val="Normal"/>
    <w:link w:val="EndnoteTextChar"/>
    <w:uiPriority w:val="99"/>
    <w:semiHidden/>
    <w:unhideWhenUsed/>
    <w:rsid w:val="00B21C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1CC9"/>
    <w:rPr>
      <w:rFonts w:ascii="TimesNewRomanPSMT" w:hAnsi="TimesNewRomanPSMT" w:cs="TimesNewRomanPSMT"/>
      <w:color w:val="000000"/>
      <w:lang w:val="en-GB"/>
    </w:rPr>
  </w:style>
  <w:style w:type="character" w:styleId="EndnoteReference">
    <w:name w:val="endnote reference"/>
    <w:basedOn w:val="DefaultParagraphFont"/>
    <w:uiPriority w:val="99"/>
    <w:semiHidden/>
    <w:unhideWhenUsed/>
    <w:rsid w:val="00B21CC9"/>
    <w:rPr>
      <w:vertAlign w:val="superscript"/>
    </w:rPr>
  </w:style>
  <w:style w:type="table" w:styleId="MediumList2-Accent1">
    <w:name w:val="Medium List 2 Accent 1"/>
    <w:basedOn w:val="TableNormal"/>
    <w:uiPriority w:val="66"/>
    <w:rsid w:val="00857E91"/>
    <w:rPr>
      <w:rFonts w:asciiTheme="majorHAnsi" w:eastAsiaTheme="majorEastAsia" w:hAnsiTheme="majorHAnsi" w:cstheme="majorBidi"/>
      <w:color w:val="000000" w:themeColor="text1"/>
    </w:rPr>
    <w:tblPr>
      <w:tblStyleRowBandSize w:val="1"/>
      <w:tblStyleColBandSize w:val="1"/>
      <w:tblBorders>
        <w:top w:val="single" w:sz="8" w:space="0" w:color="A4ADC6" w:themeColor="accent1"/>
        <w:left w:val="single" w:sz="8" w:space="0" w:color="A4ADC6" w:themeColor="accent1"/>
        <w:bottom w:val="single" w:sz="8" w:space="0" w:color="A4ADC6" w:themeColor="accent1"/>
        <w:right w:val="single" w:sz="8" w:space="0" w:color="A4ADC6" w:themeColor="accent1"/>
      </w:tblBorders>
    </w:tblPr>
    <w:tblStylePr w:type="firstRow">
      <w:rPr>
        <w:sz w:val="24"/>
        <w:szCs w:val="24"/>
      </w:rPr>
      <w:tblPr/>
      <w:tcPr>
        <w:tcBorders>
          <w:top w:val="nil"/>
          <w:left w:val="nil"/>
          <w:bottom w:val="single" w:sz="24" w:space="0" w:color="A4ADC6" w:themeColor="accent1"/>
          <w:right w:val="nil"/>
          <w:insideH w:val="nil"/>
          <w:insideV w:val="nil"/>
        </w:tcBorders>
        <w:shd w:val="clear" w:color="auto" w:fill="FFFFFF" w:themeFill="background1"/>
      </w:tcPr>
    </w:tblStylePr>
    <w:tblStylePr w:type="lastRow">
      <w:tblPr/>
      <w:tcPr>
        <w:tcBorders>
          <w:top w:val="single" w:sz="8" w:space="0" w:color="A4AD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ADC6" w:themeColor="accent1"/>
          <w:insideH w:val="nil"/>
          <w:insideV w:val="nil"/>
        </w:tcBorders>
        <w:shd w:val="clear" w:color="auto" w:fill="FFFFFF" w:themeFill="background1"/>
      </w:tcPr>
    </w:tblStylePr>
    <w:tblStylePr w:type="lastCol">
      <w:tblPr/>
      <w:tcPr>
        <w:tcBorders>
          <w:top w:val="nil"/>
          <w:left w:val="single" w:sz="8" w:space="0" w:color="A4AD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F1" w:themeFill="accent1" w:themeFillTint="3F"/>
      </w:tcPr>
    </w:tblStylePr>
    <w:tblStylePr w:type="band1Horz">
      <w:tblPr/>
      <w:tcPr>
        <w:tcBorders>
          <w:top w:val="nil"/>
          <w:bottom w:val="nil"/>
          <w:insideH w:val="nil"/>
          <w:insideV w:val="nil"/>
        </w:tcBorders>
        <w:shd w:val="clear" w:color="auto" w:fill="E8EA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857E91"/>
    <w:rPr>
      <w:color w:val="000000" w:themeColor="text1"/>
    </w:rPr>
    <w:tblPr>
      <w:tblStyleRowBandSize w:val="1"/>
      <w:tblStyleColBandSize w:val="1"/>
      <w:tblBorders>
        <w:top w:val="single" w:sz="8" w:space="0" w:color="A4ADC6" w:themeColor="accent1"/>
        <w:bottom w:val="single" w:sz="8" w:space="0" w:color="A4ADC6" w:themeColor="accent1"/>
      </w:tblBorders>
    </w:tblPr>
    <w:tblStylePr w:type="firstRow">
      <w:rPr>
        <w:rFonts w:asciiTheme="majorHAnsi" w:eastAsiaTheme="majorEastAsia" w:hAnsiTheme="majorHAnsi" w:cstheme="majorBidi"/>
      </w:rPr>
      <w:tblPr/>
      <w:tcPr>
        <w:tcBorders>
          <w:top w:val="nil"/>
          <w:bottom w:val="single" w:sz="8" w:space="0" w:color="A4ADC6" w:themeColor="accent1"/>
        </w:tcBorders>
      </w:tcPr>
    </w:tblStylePr>
    <w:tblStylePr w:type="lastRow">
      <w:rPr>
        <w:b/>
        <w:bCs/>
        <w:color w:val="6981A4" w:themeColor="text2"/>
      </w:rPr>
      <w:tblPr/>
      <w:tcPr>
        <w:tcBorders>
          <w:top w:val="single" w:sz="8" w:space="0" w:color="A4ADC6" w:themeColor="accent1"/>
          <w:bottom w:val="single" w:sz="8" w:space="0" w:color="A4ADC6" w:themeColor="accent1"/>
        </w:tcBorders>
      </w:tcPr>
    </w:tblStylePr>
    <w:tblStylePr w:type="firstCol">
      <w:rPr>
        <w:b/>
        <w:bCs/>
      </w:rPr>
    </w:tblStylePr>
    <w:tblStylePr w:type="lastCol">
      <w:rPr>
        <w:b/>
        <w:bCs/>
      </w:rPr>
      <w:tblPr/>
      <w:tcPr>
        <w:tcBorders>
          <w:top w:val="single" w:sz="8" w:space="0" w:color="A4ADC6" w:themeColor="accent1"/>
          <w:bottom w:val="single" w:sz="8" w:space="0" w:color="A4ADC6" w:themeColor="accent1"/>
        </w:tcBorders>
      </w:tcPr>
    </w:tblStylePr>
    <w:tblStylePr w:type="band1Vert">
      <w:tblPr/>
      <w:tcPr>
        <w:shd w:val="clear" w:color="auto" w:fill="E8EAF1" w:themeFill="accent1" w:themeFillTint="3F"/>
      </w:tcPr>
    </w:tblStylePr>
    <w:tblStylePr w:type="band1Horz">
      <w:tblPr/>
      <w:tcPr>
        <w:shd w:val="clear" w:color="auto" w:fill="E8EAF1" w:themeFill="accent1" w:themeFillTint="3F"/>
      </w:tcPr>
    </w:tblStylePr>
  </w:style>
  <w:style w:type="table" w:styleId="MediumShading2-Accent1">
    <w:name w:val="Medium Shading 2 Accent 1"/>
    <w:basedOn w:val="TableNormal"/>
    <w:uiPriority w:val="64"/>
    <w:rsid w:val="00857E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AD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4ADC6" w:themeFill="accent1"/>
      </w:tcPr>
    </w:tblStylePr>
    <w:tblStylePr w:type="lastCol">
      <w:rPr>
        <w:b/>
        <w:bCs/>
        <w:color w:val="FFFFFF" w:themeColor="background1"/>
      </w:rPr>
      <w:tblPr/>
      <w:tcPr>
        <w:tcBorders>
          <w:left w:val="nil"/>
          <w:right w:val="nil"/>
          <w:insideH w:val="nil"/>
          <w:insideV w:val="nil"/>
        </w:tcBorders>
        <w:shd w:val="clear" w:color="auto" w:fill="A4AD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857E91"/>
    <w:tblPr>
      <w:tblStyleRowBandSize w:val="1"/>
      <w:tblStyleColBandSize w:val="1"/>
      <w:tblBorders>
        <w:top w:val="single" w:sz="8" w:space="0" w:color="BAC1D4" w:themeColor="accent1" w:themeTint="BF"/>
        <w:left w:val="single" w:sz="8" w:space="0" w:color="BAC1D4" w:themeColor="accent1" w:themeTint="BF"/>
        <w:bottom w:val="single" w:sz="8" w:space="0" w:color="BAC1D4" w:themeColor="accent1" w:themeTint="BF"/>
        <w:right w:val="single" w:sz="8" w:space="0" w:color="BAC1D4" w:themeColor="accent1" w:themeTint="BF"/>
        <w:insideH w:val="single" w:sz="8" w:space="0" w:color="BAC1D4" w:themeColor="accent1" w:themeTint="BF"/>
      </w:tblBorders>
    </w:tblPr>
    <w:tblStylePr w:type="firstRow">
      <w:pPr>
        <w:spacing w:before="0" w:after="0" w:line="240" w:lineRule="auto"/>
      </w:pPr>
      <w:rPr>
        <w:b/>
        <w:bCs/>
        <w:color w:val="FFFFFF" w:themeColor="background1"/>
      </w:rPr>
      <w:tblPr/>
      <w:tcPr>
        <w:tcBorders>
          <w:top w:val="single" w:sz="8" w:space="0" w:color="BAC1D4" w:themeColor="accent1" w:themeTint="BF"/>
          <w:left w:val="single" w:sz="8" w:space="0" w:color="BAC1D4" w:themeColor="accent1" w:themeTint="BF"/>
          <w:bottom w:val="single" w:sz="8" w:space="0" w:color="BAC1D4" w:themeColor="accent1" w:themeTint="BF"/>
          <w:right w:val="single" w:sz="8" w:space="0" w:color="BAC1D4" w:themeColor="accent1" w:themeTint="BF"/>
          <w:insideH w:val="nil"/>
          <w:insideV w:val="nil"/>
        </w:tcBorders>
        <w:shd w:val="clear" w:color="auto" w:fill="A4ADC6" w:themeFill="accent1"/>
      </w:tcPr>
    </w:tblStylePr>
    <w:tblStylePr w:type="lastRow">
      <w:pPr>
        <w:spacing w:before="0" w:after="0" w:line="240" w:lineRule="auto"/>
      </w:pPr>
      <w:rPr>
        <w:b/>
        <w:bCs/>
      </w:rPr>
      <w:tblPr/>
      <w:tcPr>
        <w:tcBorders>
          <w:top w:val="double" w:sz="6" w:space="0" w:color="BAC1D4" w:themeColor="accent1" w:themeTint="BF"/>
          <w:left w:val="single" w:sz="8" w:space="0" w:color="BAC1D4" w:themeColor="accent1" w:themeTint="BF"/>
          <w:bottom w:val="single" w:sz="8" w:space="0" w:color="BAC1D4" w:themeColor="accent1" w:themeTint="BF"/>
          <w:right w:val="single" w:sz="8" w:space="0" w:color="BAC1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AF1" w:themeFill="accent1" w:themeFillTint="3F"/>
      </w:tcPr>
    </w:tblStylePr>
    <w:tblStylePr w:type="band1Horz">
      <w:tblPr/>
      <w:tcPr>
        <w:tcBorders>
          <w:insideH w:val="nil"/>
          <w:insideV w:val="nil"/>
        </w:tcBorders>
        <w:shd w:val="clear" w:color="auto" w:fill="E8EAF1"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857E91"/>
    <w:tblPr>
      <w:tblStyleRowBandSize w:val="1"/>
      <w:tblStyleColBandSize w:val="1"/>
      <w:tblBorders>
        <w:top w:val="single" w:sz="8" w:space="0" w:color="A4ADC6" w:themeColor="accent1"/>
        <w:left w:val="single" w:sz="8" w:space="0" w:color="A4ADC6" w:themeColor="accent1"/>
        <w:bottom w:val="single" w:sz="8" w:space="0" w:color="A4ADC6" w:themeColor="accent1"/>
        <w:right w:val="single" w:sz="8" w:space="0" w:color="A4ADC6" w:themeColor="accent1"/>
      </w:tblBorders>
    </w:tblPr>
    <w:tblStylePr w:type="firstRow">
      <w:pPr>
        <w:spacing w:before="0" w:after="0" w:line="240" w:lineRule="auto"/>
      </w:pPr>
      <w:rPr>
        <w:b/>
        <w:bCs/>
        <w:color w:val="FFFFFF" w:themeColor="background1"/>
      </w:rPr>
      <w:tblPr/>
      <w:tcPr>
        <w:shd w:val="clear" w:color="auto" w:fill="A4ADC6" w:themeFill="accent1"/>
      </w:tcPr>
    </w:tblStylePr>
    <w:tblStylePr w:type="lastRow">
      <w:pPr>
        <w:spacing w:before="0" w:after="0" w:line="240" w:lineRule="auto"/>
      </w:pPr>
      <w:rPr>
        <w:b/>
        <w:bCs/>
      </w:rPr>
      <w:tblPr/>
      <w:tcPr>
        <w:tcBorders>
          <w:top w:val="double" w:sz="6" w:space="0" w:color="A4ADC6" w:themeColor="accent1"/>
          <w:left w:val="single" w:sz="8" w:space="0" w:color="A4ADC6" w:themeColor="accent1"/>
          <w:bottom w:val="single" w:sz="8" w:space="0" w:color="A4ADC6" w:themeColor="accent1"/>
          <w:right w:val="single" w:sz="8" w:space="0" w:color="A4ADC6" w:themeColor="accent1"/>
        </w:tcBorders>
      </w:tcPr>
    </w:tblStylePr>
    <w:tblStylePr w:type="firstCol">
      <w:rPr>
        <w:b/>
        <w:bCs/>
      </w:rPr>
    </w:tblStylePr>
    <w:tblStylePr w:type="lastCol">
      <w:rPr>
        <w:b/>
        <w:bCs/>
      </w:rPr>
    </w:tblStylePr>
    <w:tblStylePr w:type="band1Vert">
      <w:tblPr/>
      <w:tcPr>
        <w:tcBorders>
          <w:top w:val="single" w:sz="8" w:space="0" w:color="A4ADC6" w:themeColor="accent1"/>
          <w:left w:val="single" w:sz="8" w:space="0" w:color="A4ADC6" w:themeColor="accent1"/>
          <w:bottom w:val="single" w:sz="8" w:space="0" w:color="A4ADC6" w:themeColor="accent1"/>
          <w:right w:val="single" w:sz="8" w:space="0" w:color="A4ADC6" w:themeColor="accent1"/>
        </w:tcBorders>
      </w:tcPr>
    </w:tblStylePr>
    <w:tblStylePr w:type="band1Horz">
      <w:tblPr/>
      <w:tcPr>
        <w:tcBorders>
          <w:top w:val="single" w:sz="8" w:space="0" w:color="A4ADC6" w:themeColor="accent1"/>
          <w:left w:val="single" w:sz="8" w:space="0" w:color="A4ADC6" w:themeColor="accent1"/>
          <w:bottom w:val="single" w:sz="8" w:space="0" w:color="A4ADC6" w:themeColor="accent1"/>
          <w:right w:val="single" w:sz="8" w:space="0" w:color="A4ADC6" w:themeColor="accent1"/>
        </w:tcBorders>
      </w:tcPr>
    </w:tblStylePr>
  </w:style>
  <w:style w:type="table" w:styleId="LightShading-Accent1">
    <w:name w:val="Light Shading Accent 1"/>
    <w:basedOn w:val="TableNormal"/>
    <w:uiPriority w:val="60"/>
    <w:rsid w:val="00857E91"/>
    <w:rPr>
      <w:color w:val="6C7AA3" w:themeColor="accent1" w:themeShade="BF"/>
    </w:rPr>
    <w:tblPr>
      <w:tblStyleRowBandSize w:val="1"/>
      <w:tblStyleColBandSize w:val="1"/>
      <w:tblBorders>
        <w:top w:val="single" w:sz="8" w:space="0" w:color="A4ADC6" w:themeColor="accent1"/>
        <w:bottom w:val="single" w:sz="8" w:space="0" w:color="A4ADC6" w:themeColor="accent1"/>
      </w:tblBorders>
    </w:tblPr>
    <w:tblStylePr w:type="firstRow">
      <w:pPr>
        <w:spacing w:before="0" w:after="0" w:line="240" w:lineRule="auto"/>
      </w:pPr>
      <w:rPr>
        <w:b/>
        <w:bCs/>
      </w:rPr>
      <w:tblPr/>
      <w:tcPr>
        <w:tcBorders>
          <w:top w:val="single" w:sz="8" w:space="0" w:color="A4ADC6" w:themeColor="accent1"/>
          <w:left w:val="nil"/>
          <w:bottom w:val="single" w:sz="8" w:space="0" w:color="A4ADC6" w:themeColor="accent1"/>
          <w:right w:val="nil"/>
          <w:insideH w:val="nil"/>
          <w:insideV w:val="nil"/>
        </w:tcBorders>
      </w:tcPr>
    </w:tblStylePr>
    <w:tblStylePr w:type="lastRow">
      <w:pPr>
        <w:spacing w:before="0" w:after="0" w:line="240" w:lineRule="auto"/>
      </w:pPr>
      <w:rPr>
        <w:b/>
        <w:bCs/>
      </w:rPr>
      <w:tblPr/>
      <w:tcPr>
        <w:tcBorders>
          <w:top w:val="single" w:sz="8" w:space="0" w:color="A4ADC6" w:themeColor="accent1"/>
          <w:left w:val="nil"/>
          <w:bottom w:val="single" w:sz="8" w:space="0" w:color="A4AD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F1" w:themeFill="accent1" w:themeFillTint="3F"/>
      </w:tcPr>
    </w:tblStylePr>
    <w:tblStylePr w:type="band1Horz">
      <w:tblPr/>
      <w:tcPr>
        <w:tcBorders>
          <w:left w:val="nil"/>
          <w:right w:val="nil"/>
          <w:insideH w:val="nil"/>
          <w:insideV w:val="nil"/>
        </w:tcBorders>
        <w:shd w:val="clear" w:color="auto" w:fill="E8EAF1" w:themeFill="accent1" w:themeFillTint="3F"/>
      </w:tcPr>
    </w:tblStylePr>
  </w:style>
  <w:style w:type="character" w:styleId="IntenseReference">
    <w:name w:val="Intense Reference"/>
    <w:basedOn w:val="DefaultParagraphFont"/>
    <w:uiPriority w:val="32"/>
    <w:rsid w:val="0043502F"/>
    <w:rPr>
      <w:b/>
      <w:bCs/>
      <w:smallCaps/>
      <w:color w:val="581724" w:themeColor="accent2"/>
      <w:spacing w:val="5"/>
      <w:u w:val="single"/>
    </w:rPr>
  </w:style>
  <w:style w:type="character" w:styleId="CommentReference">
    <w:name w:val="annotation reference"/>
    <w:basedOn w:val="DefaultParagraphFont"/>
    <w:uiPriority w:val="99"/>
    <w:semiHidden/>
    <w:unhideWhenUsed/>
    <w:rsid w:val="007126E9"/>
    <w:rPr>
      <w:sz w:val="16"/>
      <w:szCs w:val="16"/>
    </w:rPr>
  </w:style>
  <w:style w:type="paragraph" w:styleId="CommentText">
    <w:name w:val="annotation text"/>
    <w:basedOn w:val="Normal"/>
    <w:link w:val="CommentTextChar"/>
    <w:uiPriority w:val="99"/>
    <w:semiHidden/>
    <w:unhideWhenUsed/>
    <w:rsid w:val="007126E9"/>
    <w:pPr>
      <w:widowControl/>
      <w:suppressAutoHyphens w:val="0"/>
      <w:autoSpaceDE/>
      <w:autoSpaceDN/>
      <w:adjustRightInd/>
      <w:spacing w:after="200" w:line="240" w:lineRule="auto"/>
      <w:textAlignment w:val="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7126E9"/>
    <w:rPr>
      <w:rFonts w:asciiTheme="minorHAnsi" w:eastAsiaTheme="minorHAnsi" w:hAnsiTheme="minorHAnsi"/>
      <w:lang w:eastAsia="en-US"/>
    </w:rPr>
  </w:style>
  <w:style w:type="paragraph" w:styleId="Revision">
    <w:name w:val="Revision"/>
    <w:hidden/>
    <w:uiPriority w:val="99"/>
    <w:semiHidden/>
    <w:rsid w:val="00265D5A"/>
    <w:rPr>
      <w:rFonts w:ascii="TimesNewRomanPSMT" w:hAnsi="TimesNewRomanPSMT" w:cs="TimesNewRomanPSMT"/>
      <w:color w:val="000000"/>
      <w:sz w:val="22"/>
      <w:szCs w:val="22"/>
      <w:lang w:val="en-GB"/>
    </w:rPr>
  </w:style>
  <w:style w:type="paragraph" w:styleId="Bibliography">
    <w:name w:val="Bibliography"/>
    <w:basedOn w:val="Normal"/>
    <w:next w:val="Normal"/>
    <w:uiPriority w:val="37"/>
    <w:unhideWhenUsed/>
    <w:rsid w:val="00825EC3"/>
    <w:pPr>
      <w:widowControl/>
      <w:suppressAutoHyphens w:val="0"/>
      <w:autoSpaceDE/>
      <w:autoSpaceDN/>
      <w:adjustRightInd/>
      <w:spacing w:after="200" w:line="276" w:lineRule="auto"/>
      <w:textAlignment w:val="auto"/>
    </w:pPr>
    <w:rPr>
      <w:rFonts w:asciiTheme="minorHAnsi" w:eastAsiaTheme="minorHAnsi" w:hAnsiTheme="minorHAnsi" w:cstheme="minorBidi"/>
      <w:color w:val="auto"/>
    </w:rPr>
  </w:style>
  <w:style w:type="table" w:styleId="MediumShading2-Accent5">
    <w:name w:val="Medium Shading 2 Accent 5"/>
    <w:basedOn w:val="TableNormal"/>
    <w:uiPriority w:val="64"/>
    <w:rsid w:val="002B23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93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934" w:themeFill="accent5"/>
      </w:tcPr>
    </w:tblStylePr>
    <w:tblStylePr w:type="lastCol">
      <w:rPr>
        <w:b/>
        <w:bCs/>
        <w:color w:val="FFFFFF" w:themeColor="background1"/>
      </w:rPr>
      <w:tblPr/>
      <w:tcPr>
        <w:tcBorders>
          <w:left w:val="nil"/>
          <w:right w:val="nil"/>
          <w:insideH w:val="nil"/>
          <w:insideV w:val="nil"/>
        </w:tcBorders>
        <w:shd w:val="clear" w:color="auto" w:fill="00793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F04528"/>
  </w:style>
  <w:style w:type="paragraph" w:styleId="CommentSubject">
    <w:name w:val="annotation subject"/>
    <w:basedOn w:val="CommentText"/>
    <w:next w:val="CommentText"/>
    <w:link w:val="CommentSubjectChar"/>
    <w:uiPriority w:val="99"/>
    <w:semiHidden/>
    <w:unhideWhenUsed/>
    <w:rsid w:val="005826EF"/>
    <w:pPr>
      <w:widowControl w:val="0"/>
      <w:suppressAutoHyphens/>
      <w:autoSpaceDE w:val="0"/>
      <w:autoSpaceDN w:val="0"/>
      <w:adjustRightInd w:val="0"/>
      <w:spacing w:after="180"/>
      <w:textAlignment w:val="center"/>
    </w:pPr>
    <w:rPr>
      <w:rFonts w:ascii="TimesNewRomanPSMT" w:eastAsiaTheme="minorEastAsia" w:hAnsi="TimesNewRomanPSMT" w:cs="TimesNewRomanPSMT"/>
      <w:b/>
      <w:bCs/>
      <w:color w:val="000000"/>
      <w:lang w:val="en-GB" w:eastAsia="ja-JP"/>
    </w:rPr>
  </w:style>
  <w:style w:type="character" w:customStyle="1" w:styleId="CommentSubjectChar">
    <w:name w:val="Comment Subject Char"/>
    <w:basedOn w:val="CommentTextChar"/>
    <w:link w:val="CommentSubject"/>
    <w:uiPriority w:val="99"/>
    <w:semiHidden/>
    <w:rsid w:val="005826EF"/>
    <w:rPr>
      <w:rFonts w:ascii="TimesNewRomanPSMT" w:eastAsiaTheme="minorHAnsi" w:hAnsi="TimesNewRomanPSMT" w:cs="TimesNewRomanPSMT"/>
      <w:b/>
      <w:bCs/>
      <w:color w:val="000000"/>
      <w:lang w:val="en-GB" w:eastAsia="en-US"/>
    </w:rPr>
  </w:style>
  <w:style w:type="paragraph" w:customStyle="1" w:styleId="H4">
    <w:name w:val="H4"/>
    <w:basedOn w:val="Heading4"/>
    <w:link w:val="H4Char"/>
    <w:rsid w:val="00904B84"/>
    <w:pPr>
      <w:jc w:val="center"/>
    </w:pPr>
    <w:rPr>
      <w:i w:val="0"/>
      <w:color w:val="FFFFFF"/>
    </w:rPr>
  </w:style>
  <w:style w:type="paragraph" w:customStyle="1" w:styleId="FSTitle2">
    <w:name w:val="FS Title2"/>
    <w:basedOn w:val="Heading1"/>
    <w:link w:val="FSTitle2Char"/>
    <w:uiPriority w:val="7"/>
    <w:qFormat/>
    <w:rsid w:val="00D85436"/>
    <w:rPr>
      <w:i/>
      <w:sz w:val="42"/>
      <w:szCs w:val="42"/>
    </w:rPr>
  </w:style>
  <w:style w:type="character" w:customStyle="1" w:styleId="H4Char">
    <w:name w:val="H4 Char"/>
    <w:basedOn w:val="Heading4Char"/>
    <w:link w:val="H4"/>
    <w:rsid w:val="00904B84"/>
    <w:rPr>
      <w:rFonts w:ascii="Myriad Pro" w:hAnsi="Myriad Pro" w:cs="TimesNewRomanPSMT"/>
      <w:b/>
      <w:i w:val="0"/>
      <w:color w:val="FFFFFF"/>
      <w:sz w:val="28"/>
      <w:szCs w:val="28"/>
      <w:lang w:val="en-GB"/>
    </w:rPr>
  </w:style>
  <w:style w:type="character" w:customStyle="1" w:styleId="FSTitle2Char">
    <w:name w:val="FS Title2 Char"/>
    <w:basedOn w:val="Heading1Char"/>
    <w:link w:val="FSTitle2"/>
    <w:uiPriority w:val="7"/>
    <w:rsid w:val="00B377A0"/>
    <w:rPr>
      <w:rFonts w:ascii="Myriad Pro" w:hAnsi="Myriad Pro" w:cs="ProximaNova-Bold"/>
      <w:b/>
      <w:i/>
      <w:color w:val="014868"/>
      <w:sz w:val="42"/>
      <w:szCs w:val="4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1413">
      <w:bodyDiv w:val="1"/>
      <w:marLeft w:val="0"/>
      <w:marRight w:val="0"/>
      <w:marTop w:val="0"/>
      <w:marBottom w:val="0"/>
      <w:divBdr>
        <w:top w:val="none" w:sz="0" w:space="0" w:color="auto"/>
        <w:left w:val="none" w:sz="0" w:space="0" w:color="auto"/>
        <w:bottom w:val="none" w:sz="0" w:space="0" w:color="auto"/>
        <w:right w:val="none" w:sz="0" w:space="0" w:color="auto"/>
      </w:divBdr>
    </w:div>
    <w:div w:id="76560294">
      <w:bodyDiv w:val="1"/>
      <w:marLeft w:val="0"/>
      <w:marRight w:val="0"/>
      <w:marTop w:val="0"/>
      <w:marBottom w:val="0"/>
      <w:divBdr>
        <w:top w:val="none" w:sz="0" w:space="0" w:color="auto"/>
        <w:left w:val="none" w:sz="0" w:space="0" w:color="auto"/>
        <w:bottom w:val="none" w:sz="0" w:space="0" w:color="auto"/>
        <w:right w:val="none" w:sz="0" w:space="0" w:color="auto"/>
      </w:divBdr>
    </w:div>
    <w:div w:id="97408750">
      <w:bodyDiv w:val="1"/>
      <w:marLeft w:val="0"/>
      <w:marRight w:val="0"/>
      <w:marTop w:val="0"/>
      <w:marBottom w:val="0"/>
      <w:divBdr>
        <w:top w:val="none" w:sz="0" w:space="0" w:color="auto"/>
        <w:left w:val="none" w:sz="0" w:space="0" w:color="auto"/>
        <w:bottom w:val="none" w:sz="0" w:space="0" w:color="auto"/>
        <w:right w:val="none" w:sz="0" w:space="0" w:color="auto"/>
      </w:divBdr>
    </w:div>
    <w:div w:id="192619128">
      <w:bodyDiv w:val="1"/>
      <w:marLeft w:val="0"/>
      <w:marRight w:val="0"/>
      <w:marTop w:val="0"/>
      <w:marBottom w:val="0"/>
      <w:divBdr>
        <w:top w:val="none" w:sz="0" w:space="0" w:color="auto"/>
        <w:left w:val="none" w:sz="0" w:space="0" w:color="auto"/>
        <w:bottom w:val="none" w:sz="0" w:space="0" w:color="auto"/>
        <w:right w:val="none" w:sz="0" w:space="0" w:color="auto"/>
      </w:divBdr>
    </w:div>
    <w:div w:id="231239231">
      <w:bodyDiv w:val="1"/>
      <w:marLeft w:val="0"/>
      <w:marRight w:val="0"/>
      <w:marTop w:val="0"/>
      <w:marBottom w:val="0"/>
      <w:divBdr>
        <w:top w:val="none" w:sz="0" w:space="0" w:color="auto"/>
        <w:left w:val="none" w:sz="0" w:space="0" w:color="auto"/>
        <w:bottom w:val="none" w:sz="0" w:space="0" w:color="auto"/>
        <w:right w:val="none" w:sz="0" w:space="0" w:color="auto"/>
      </w:divBdr>
    </w:div>
    <w:div w:id="280382712">
      <w:bodyDiv w:val="1"/>
      <w:marLeft w:val="0"/>
      <w:marRight w:val="0"/>
      <w:marTop w:val="0"/>
      <w:marBottom w:val="0"/>
      <w:divBdr>
        <w:top w:val="none" w:sz="0" w:space="0" w:color="auto"/>
        <w:left w:val="none" w:sz="0" w:space="0" w:color="auto"/>
        <w:bottom w:val="none" w:sz="0" w:space="0" w:color="auto"/>
        <w:right w:val="none" w:sz="0" w:space="0" w:color="auto"/>
      </w:divBdr>
    </w:div>
    <w:div w:id="309133624">
      <w:bodyDiv w:val="1"/>
      <w:marLeft w:val="0"/>
      <w:marRight w:val="0"/>
      <w:marTop w:val="0"/>
      <w:marBottom w:val="0"/>
      <w:divBdr>
        <w:top w:val="none" w:sz="0" w:space="0" w:color="auto"/>
        <w:left w:val="none" w:sz="0" w:space="0" w:color="auto"/>
        <w:bottom w:val="none" w:sz="0" w:space="0" w:color="auto"/>
        <w:right w:val="none" w:sz="0" w:space="0" w:color="auto"/>
      </w:divBdr>
    </w:div>
    <w:div w:id="325672233">
      <w:bodyDiv w:val="1"/>
      <w:marLeft w:val="0"/>
      <w:marRight w:val="0"/>
      <w:marTop w:val="0"/>
      <w:marBottom w:val="0"/>
      <w:divBdr>
        <w:top w:val="none" w:sz="0" w:space="0" w:color="auto"/>
        <w:left w:val="none" w:sz="0" w:space="0" w:color="auto"/>
        <w:bottom w:val="none" w:sz="0" w:space="0" w:color="auto"/>
        <w:right w:val="none" w:sz="0" w:space="0" w:color="auto"/>
      </w:divBdr>
    </w:div>
    <w:div w:id="521093109">
      <w:bodyDiv w:val="1"/>
      <w:marLeft w:val="0"/>
      <w:marRight w:val="0"/>
      <w:marTop w:val="0"/>
      <w:marBottom w:val="0"/>
      <w:divBdr>
        <w:top w:val="none" w:sz="0" w:space="0" w:color="auto"/>
        <w:left w:val="none" w:sz="0" w:space="0" w:color="auto"/>
        <w:bottom w:val="none" w:sz="0" w:space="0" w:color="auto"/>
        <w:right w:val="none" w:sz="0" w:space="0" w:color="auto"/>
      </w:divBdr>
    </w:div>
    <w:div w:id="548417171">
      <w:bodyDiv w:val="1"/>
      <w:marLeft w:val="0"/>
      <w:marRight w:val="0"/>
      <w:marTop w:val="0"/>
      <w:marBottom w:val="0"/>
      <w:divBdr>
        <w:top w:val="none" w:sz="0" w:space="0" w:color="auto"/>
        <w:left w:val="none" w:sz="0" w:space="0" w:color="auto"/>
        <w:bottom w:val="none" w:sz="0" w:space="0" w:color="auto"/>
        <w:right w:val="none" w:sz="0" w:space="0" w:color="auto"/>
      </w:divBdr>
    </w:div>
    <w:div w:id="601300577">
      <w:bodyDiv w:val="1"/>
      <w:marLeft w:val="0"/>
      <w:marRight w:val="0"/>
      <w:marTop w:val="0"/>
      <w:marBottom w:val="0"/>
      <w:divBdr>
        <w:top w:val="none" w:sz="0" w:space="0" w:color="auto"/>
        <w:left w:val="none" w:sz="0" w:space="0" w:color="auto"/>
        <w:bottom w:val="none" w:sz="0" w:space="0" w:color="auto"/>
        <w:right w:val="none" w:sz="0" w:space="0" w:color="auto"/>
      </w:divBdr>
    </w:div>
    <w:div w:id="707418417">
      <w:bodyDiv w:val="1"/>
      <w:marLeft w:val="0"/>
      <w:marRight w:val="0"/>
      <w:marTop w:val="0"/>
      <w:marBottom w:val="0"/>
      <w:divBdr>
        <w:top w:val="none" w:sz="0" w:space="0" w:color="auto"/>
        <w:left w:val="none" w:sz="0" w:space="0" w:color="auto"/>
        <w:bottom w:val="none" w:sz="0" w:space="0" w:color="auto"/>
        <w:right w:val="none" w:sz="0" w:space="0" w:color="auto"/>
      </w:divBdr>
    </w:div>
    <w:div w:id="773552777">
      <w:bodyDiv w:val="1"/>
      <w:marLeft w:val="0"/>
      <w:marRight w:val="0"/>
      <w:marTop w:val="0"/>
      <w:marBottom w:val="0"/>
      <w:divBdr>
        <w:top w:val="none" w:sz="0" w:space="0" w:color="auto"/>
        <w:left w:val="none" w:sz="0" w:space="0" w:color="auto"/>
        <w:bottom w:val="none" w:sz="0" w:space="0" w:color="auto"/>
        <w:right w:val="none" w:sz="0" w:space="0" w:color="auto"/>
      </w:divBdr>
    </w:div>
    <w:div w:id="794100401">
      <w:bodyDiv w:val="1"/>
      <w:marLeft w:val="0"/>
      <w:marRight w:val="0"/>
      <w:marTop w:val="0"/>
      <w:marBottom w:val="0"/>
      <w:divBdr>
        <w:top w:val="none" w:sz="0" w:space="0" w:color="auto"/>
        <w:left w:val="none" w:sz="0" w:space="0" w:color="auto"/>
        <w:bottom w:val="none" w:sz="0" w:space="0" w:color="auto"/>
        <w:right w:val="none" w:sz="0" w:space="0" w:color="auto"/>
      </w:divBdr>
    </w:div>
    <w:div w:id="875656662">
      <w:bodyDiv w:val="1"/>
      <w:marLeft w:val="0"/>
      <w:marRight w:val="0"/>
      <w:marTop w:val="0"/>
      <w:marBottom w:val="0"/>
      <w:divBdr>
        <w:top w:val="none" w:sz="0" w:space="0" w:color="auto"/>
        <w:left w:val="none" w:sz="0" w:space="0" w:color="auto"/>
        <w:bottom w:val="none" w:sz="0" w:space="0" w:color="auto"/>
        <w:right w:val="none" w:sz="0" w:space="0" w:color="auto"/>
      </w:divBdr>
    </w:div>
    <w:div w:id="898396165">
      <w:bodyDiv w:val="1"/>
      <w:marLeft w:val="0"/>
      <w:marRight w:val="0"/>
      <w:marTop w:val="0"/>
      <w:marBottom w:val="0"/>
      <w:divBdr>
        <w:top w:val="none" w:sz="0" w:space="0" w:color="auto"/>
        <w:left w:val="none" w:sz="0" w:space="0" w:color="auto"/>
        <w:bottom w:val="none" w:sz="0" w:space="0" w:color="auto"/>
        <w:right w:val="none" w:sz="0" w:space="0" w:color="auto"/>
      </w:divBdr>
    </w:div>
    <w:div w:id="1025668206">
      <w:bodyDiv w:val="1"/>
      <w:marLeft w:val="0"/>
      <w:marRight w:val="0"/>
      <w:marTop w:val="0"/>
      <w:marBottom w:val="0"/>
      <w:divBdr>
        <w:top w:val="none" w:sz="0" w:space="0" w:color="auto"/>
        <w:left w:val="none" w:sz="0" w:space="0" w:color="auto"/>
        <w:bottom w:val="none" w:sz="0" w:space="0" w:color="auto"/>
        <w:right w:val="none" w:sz="0" w:space="0" w:color="auto"/>
      </w:divBdr>
    </w:div>
    <w:div w:id="1121025789">
      <w:bodyDiv w:val="1"/>
      <w:marLeft w:val="0"/>
      <w:marRight w:val="0"/>
      <w:marTop w:val="0"/>
      <w:marBottom w:val="0"/>
      <w:divBdr>
        <w:top w:val="none" w:sz="0" w:space="0" w:color="auto"/>
        <w:left w:val="none" w:sz="0" w:space="0" w:color="auto"/>
        <w:bottom w:val="none" w:sz="0" w:space="0" w:color="auto"/>
        <w:right w:val="none" w:sz="0" w:space="0" w:color="auto"/>
      </w:divBdr>
    </w:div>
    <w:div w:id="1168523366">
      <w:bodyDiv w:val="1"/>
      <w:marLeft w:val="0"/>
      <w:marRight w:val="0"/>
      <w:marTop w:val="0"/>
      <w:marBottom w:val="0"/>
      <w:divBdr>
        <w:top w:val="none" w:sz="0" w:space="0" w:color="auto"/>
        <w:left w:val="none" w:sz="0" w:space="0" w:color="auto"/>
        <w:bottom w:val="none" w:sz="0" w:space="0" w:color="auto"/>
        <w:right w:val="none" w:sz="0" w:space="0" w:color="auto"/>
      </w:divBdr>
    </w:div>
    <w:div w:id="1188982294">
      <w:bodyDiv w:val="1"/>
      <w:marLeft w:val="0"/>
      <w:marRight w:val="0"/>
      <w:marTop w:val="0"/>
      <w:marBottom w:val="0"/>
      <w:divBdr>
        <w:top w:val="none" w:sz="0" w:space="0" w:color="auto"/>
        <w:left w:val="none" w:sz="0" w:space="0" w:color="auto"/>
        <w:bottom w:val="none" w:sz="0" w:space="0" w:color="auto"/>
        <w:right w:val="none" w:sz="0" w:space="0" w:color="auto"/>
      </w:divBdr>
    </w:div>
    <w:div w:id="1273589140">
      <w:bodyDiv w:val="1"/>
      <w:marLeft w:val="0"/>
      <w:marRight w:val="0"/>
      <w:marTop w:val="0"/>
      <w:marBottom w:val="0"/>
      <w:divBdr>
        <w:top w:val="none" w:sz="0" w:space="0" w:color="auto"/>
        <w:left w:val="none" w:sz="0" w:space="0" w:color="auto"/>
        <w:bottom w:val="none" w:sz="0" w:space="0" w:color="auto"/>
        <w:right w:val="none" w:sz="0" w:space="0" w:color="auto"/>
      </w:divBdr>
    </w:div>
    <w:div w:id="1306592962">
      <w:bodyDiv w:val="1"/>
      <w:marLeft w:val="0"/>
      <w:marRight w:val="0"/>
      <w:marTop w:val="0"/>
      <w:marBottom w:val="0"/>
      <w:divBdr>
        <w:top w:val="none" w:sz="0" w:space="0" w:color="auto"/>
        <w:left w:val="none" w:sz="0" w:space="0" w:color="auto"/>
        <w:bottom w:val="none" w:sz="0" w:space="0" w:color="auto"/>
        <w:right w:val="none" w:sz="0" w:space="0" w:color="auto"/>
      </w:divBdr>
    </w:div>
    <w:div w:id="1494760490">
      <w:bodyDiv w:val="1"/>
      <w:marLeft w:val="0"/>
      <w:marRight w:val="0"/>
      <w:marTop w:val="0"/>
      <w:marBottom w:val="0"/>
      <w:divBdr>
        <w:top w:val="none" w:sz="0" w:space="0" w:color="auto"/>
        <w:left w:val="none" w:sz="0" w:space="0" w:color="auto"/>
        <w:bottom w:val="none" w:sz="0" w:space="0" w:color="auto"/>
        <w:right w:val="none" w:sz="0" w:space="0" w:color="auto"/>
      </w:divBdr>
    </w:div>
    <w:div w:id="1521242288">
      <w:bodyDiv w:val="1"/>
      <w:marLeft w:val="0"/>
      <w:marRight w:val="0"/>
      <w:marTop w:val="0"/>
      <w:marBottom w:val="0"/>
      <w:divBdr>
        <w:top w:val="none" w:sz="0" w:space="0" w:color="auto"/>
        <w:left w:val="none" w:sz="0" w:space="0" w:color="auto"/>
        <w:bottom w:val="none" w:sz="0" w:space="0" w:color="auto"/>
        <w:right w:val="none" w:sz="0" w:space="0" w:color="auto"/>
      </w:divBdr>
    </w:div>
    <w:div w:id="1574700268">
      <w:bodyDiv w:val="1"/>
      <w:marLeft w:val="0"/>
      <w:marRight w:val="0"/>
      <w:marTop w:val="0"/>
      <w:marBottom w:val="0"/>
      <w:divBdr>
        <w:top w:val="none" w:sz="0" w:space="0" w:color="auto"/>
        <w:left w:val="none" w:sz="0" w:space="0" w:color="auto"/>
        <w:bottom w:val="none" w:sz="0" w:space="0" w:color="auto"/>
        <w:right w:val="none" w:sz="0" w:space="0" w:color="auto"/>
      </w:divBdr>
    </w:div>
    <w:div w:id="1815947386">
      <w:bodyDiv w:val="1"/>
      <w:marLeft w:val="0"/>
      <w:marRight w:val="0"/>
      <w:marTop w:val="0"/>
      <w:marBottom w:val="0"/>
      <w:divBdr>
        <w:top w:val="none" w:sz="0" w:space="0" w:color="auto"/>
        <w:left w:val="none" w:sz="0" w:space="0" w:color="auto"/>
        <w:bottom w:val="none" w:sz="0" w:space="0" w:color="auto"/>
        <w:right w:val="none" w:sz="0" w:space="0" w:color="auto"/>
      </w:divBdr>
    </w:div>
    <w:div w:id="1898736524">
      <w:bodyDiv w:val="1"/>
      <w:marLeft w:val="0"/>
      <w:marRight w:val="0"/>
      <w:marTop w:val="0"/>
      <w:marBottom w:val="0"/>
      <w:divBdr>
        <w:top w:val="none" w:sz="0" w:space="0" w:color="auto"/>
        <w:left w:val="none" w:sz="0" w:space="0" w:color="auto"/>
        <w:bottom w:val="none" w:sz="0" w:space="0" w:color="auto"/>
        <w:right w:val="none" w:sz="0" w:space="0" w:color="auto"/>
      </w:divBdr>
    </w:div>
    <w:div w:id="2069719807">
      <w:bodyDiv w:val="1"/>
      <w:marLeft w:val="0"/>
      <w:marRight w:val="0"/>
      <w:marTop w:val="0"/>
      <w:marBottom w:val="0"/>
      <w:divBdr>
        <w:top w:val="none" w:sz="0" w:space="0" w:color="auto"/>
        <w:left w:val="none" w:sz="0" w:space="0" w:color="auto"/>
        <w:bottom w:val="none" w:sz="0" w:space="0" w:color="auto"/>
        <w:right w:val="none" w:sz="0" w:space="0" w:color="auto"/>
      </w:divBdr>
    </w:div>
    <w:div w:id="2089304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ications\Templates\CLASP%20Templates\CLASP%20Letterhead%20Template%20(UPDATED%20July%202018).dotx" TargetMode="External"/></Relationships>
</file>

<file path=word/theme/theme1.xml><?xml version="1.0" encoding="utf-8"?>
<a:theme xmlns:a="http://schemas.openxmlformats.org/drawingml/2006/main" name="CPES">
  <a:themeElements>
    <a:clrScheme name="Custom 2">
      <a:dk1>
        <a:sysClr val="windowText" lastClr="000000"/>
      </a:dk1>
      <a:lt1>
        <a:sysClr val="window" lastClr="FFFFFF"/>
      </a:lt1>
      <a:dk2>
        <a:srgbClr val="6981A4"/>
      </a:dk2>
      <a:lt2>
        <a:srgbClr val="AAA38E"/>
      </a:lt2>
      <a:accent1>
        <a:srgbClr val="A4ADC6"/>
      </a:accent1>
      <a:accent2>
        <a:srgbClr val="581724"/>
      </a:accent2>
      <a:accent3>
        <a:srgbClr val="B2541A"/>
      </a:accent3>
      <a:accent4>
        <a:srgbClr val="D28E00"/>
      </a:accent4>
      <a:accent5>
        <a:srgbClr val="007934"/>
      </a:accent5>
      <a:accent6>
        <a:srgbClr val="675C53"/>
      </a:accent6>
      <a:hlink>
        <a:srgbClr val="641F45"/>
      </a:hlink>
      <a:folHlink>
        <a:srgbClr val="641F4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E07D2-FE9E-4A0F-AA1D-78CC823E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CLASP Letterhead Template (UPDATED July 2018)</Template>
  <TotalTime>13</TotalTime>
  <Pages>4</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No Thanks</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Cielinski</dc:creator>
  <cp:lastModifiedBy>Anna Cielinski</cp:lastModifiedBy>
  <cp:revision>4</cp:revision>
  <cp:lastPrinted>2018-12-07T22:19:00Z</cp:lastPrinted>
  <dcterms:created xsi:type="dcterms:W3CDTF">2018-12-07T22:06:00Z</dcterms:created>
  <dcterms:modified xsi:type="dcterms:W3CDTF">2018-12-11T17:43:00Z</dcterms:modified>
</cp:coreProperties>
</file>