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DB486" w14:textId="56B628A2" w:rsidR="000B35E1" w:rsidRDefault="00C956B9" w:rsidP="00C956B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56B9"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A288C" wp14:editId="453AAF05">
                <wp:simplePos x="0" y="0"/>
                <wp:positionH relativeFrom="column">
                  <wp:posOffset>4962525</wp:posOffset>
                </wp:positionH>
                <wp:positionV relativeFrom="paragraph">
                  <wp:posOffset>-685799</wp:posOffset>
                </wp:positionV>
                <wp:extent cx="990600" cy="890588"/>
                <wp:effectExtent l="0" t="0" r="19050" b="24130"/>
                <wp:wrapNone/>
                <wp:docPr id="20957207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8905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rgbClr val="002060"/>
                          </a:solidFill>
                        </a:ln>
                      </wps:spPr>
                      <wps:txbx>
                        <w:txbxContent>
                          <w:p w14:paraId="20E27961" w14:textId="62889B08" w:rsidR="00C956B9" w:rsidRPr="00C956B9" w:rsidRDefault="00C956B9" w:rsidP="00C956B9">
                            <w:r w:rsidRPr="00C956B9">
                              <w:drawing>
                                <wp:inline distT="0" distB="0" distL="0" distR="0" wp14:anchorId="2C284B6E" wp14:editId="246B5EC6">
                                  <wp:extent cx="801370" cy="794385"/>
                                  <wp:effectExtent l="0" t="0" r="0" b="5715"/>
                                  <wp:docPr id="1289919447" name="Picture 2" descr="A blue circle with white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89919447" name="Picture 2" descr="A blue circle with white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1370" cy="794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9FE26A" w14:textId="77777777" w:rsidR="00C956B9" w:rsidRDefault="00C956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A288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0.75pt;margin-top:-54pt;width:78pt;height:70.1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" fillcolor="white [3201]" strokecolor="#002060" strokeweight="1pt">
                <v:textbox>
                  <w:txbxContent>
                    <w:p w14:paraId="20E27961" w14:textId="62889B08" w:rsidR="00C956B9" w:rsidRPr="00C956B9" w:rsidRDefault="00C956B9" w:rsidP="00C956B9">
                      <w:r w:rsidRPr="00C956B9">
                        <w:drawing>
                          <wp:inline distT="0" distB="0" distL="0" distR="0" wp14:anchorId="2C284B6E" wp14:editId="246B5EC6">
                            <wp:extent cx="801370" cy="794385"/>
                            <wp:effectExtent l="0" t="0" r="0" b="5715"/>
                            <wp:docPr id="1289919447" name="Picture 2" descr="A blue circle with white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89919447" name="Picture 2" descr="A blue circle with white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1370" cy="794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9FE26A" w14:textId="77777777" w:rsidR="00C956B9" w:rsidRDefault="00C956B9"/>
                  </w:txbxContent>
                </v:textbox>
              </v:shape>
            </w:pict>
          </mc:Fallback>
        </mc:AlternateContent>
      </w:r>
      <w:r w:rsidRPr="00C956B9">
        <w:rPr>
          <w:rFonts w:ascii="Times New Roman" w:hAnsi="Times New Roman" w:cs="Times New Roman"/>
          <w:b/>
          <w:bCs/>
          <w:sz w:val="28"/>
          <w:szCs w:val="28"/>
        </w:rPr>
        <w:t xml:space="preserve">NCL 2025 Membership Renewal List </w:t>
      </w:r>
    </w:p>
    <w:p w14:paraId="08F63D00" w14:textId="309E97C5" w:rsidR="00C956B9" w:rsidRPr="00C956B9" w:rsidRDefault="00C956B9" w:rsidP="00C956B9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Updated:  March 11, 2025</w:t>
      </w:r>
    </w:p>
    <w:p w14:paraId="514817E8" w14:textId="6249E089" w:rsidR="00C956B9" w:rsidRDefault="00C956B9" w:rsidP="0088760B">
      <w:pPr>
        <w:spacing w:after="0"/>
        <w:rPr>
          <w:rFonts w:ascii="Times New Roman" w:hAnsi="Times New Roman" w:cs="Times New Roman"/>
        </w:rPr>
      </w:pPr>
    </w:p>
    <w:p w14:paraId="431957AD" w14:textId="11EB43F2" w:rsidR="0088760B" w:rsidRDefault="0088760B" w:rsidP="0088760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organizations have renewed their NCL membership for 2025.  All have been invoiced.  We have received membership renewal payments from organizations in bold.</w:t>
      </w:r>
    </w:p>
    <w:p w14:paraId="01E32B4E" w14:textId="77777777" w:rsidR="0088760B" w:rsidRPr="0088760B" w:rsidRDefault="0088760B" w:rsidP="0088760B">
      <w:pPr>
        <w:spacing w:after="0"/>
        <w:rPr>
          <w:rFonts w:ascii="Times New Roman" w:hAnsi="Times New Roman" w:cs="Times New Roman"/>
        </w:rPr>
      </w:pPr>
    </w:p>
    <w:p w14:paraId="42D6AFDF" w14:textId="0F57AE0A" w:rsidR="00C956B9" w:rsidRDefault="00C956B9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Full Member Renewals</w:t>
      </w:r>
    </w:p>
    <w:p w14:paraId="2715C672" w14:textId="59CC89C6" w:rsidR="00C956B9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National Center for Families Learning</w:t>
      </w:r>
    </w:p>
    <w:p w14:paraId="03BDF1BE" w14:textId="22A6F1F2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American Association for Adult &amp; Continuing Education</w:t>
      </w:r>
    </w:p>
    <w:p w14:paraId="04DD5E83" w14:textId="0A0FE618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Proliteracy</w:t>
      </w:r>
    </w:p>
    <w:p w14:paraId="1B4C026A" w14:textId="0223C01B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Literacy Action Network</w:t>
      </w:r>
    </w:p>
    <w:p w14:paraId="3AE05D01" w14:textId="6CA6E758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TESOL</w:t>
      </w:r>
    </w:p>
    <w:p w14:paraId="36F9DC8F" w14:textId="7D3AA203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American Library Association</w:t>
      </w:r>
    </w:p>
    <w:p w14:paraId="696DBF75" w14:textId="7F11D4E7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Goodling Institute for Research</w:t>
      </w:r>
    </w:p>
    <w:p w14:paraId="28F05E97" w14:textId="66547DA9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Barbara Bush Foundation</w:t>
      </w:r>
    </w:p>
    <w:p w14:paraId="1F012D83" w14:textId="65FF5AB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COABE</w:t>
      </w:r>
    </w:p>
    <w:p w14:paraId="625C421B" w14:textId="1EE34EDD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Montgomery Coalition for Adult Education &amp; Literacy</w:t>
      </w:r>
    </w:p>
    <w:p w14:paraId="0D6438AD" w14:textId="60457C16" w:rsidR="00B52817" w:rsidRPr="00D56A0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D56A0C">
        <w:rPr>
          <w:rFonts w:ascii="Times New Roman" w:hAnsi="Times New Roman" w:cs="Times New Roman"/>
          <w:b/>
          <w:bCs/>
        </w:rPr>
        <w:t>Center for Applied Linguistics</w:t>
      </w:r>
    </w:p>
    <w:p w14:paraId="3CED46B0" w14:textId="066C4DF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CASAS</w:t>
      </w:r>
    </w:p>
    <w:p w14:paraId="7FF6ACA4" w14:textId="7C1B295C" w:rsidR="00B52817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T</w:t>
      </w:r>
      <w:r>
        <w:rPr>
          <w:rFonts w:ascii="Times New Roman" w:hAnsi="Times New Roman" w:cs="Times New Roman"/>
          <w:b/>
          <w:bCs/>
        </w:rPr>
        <w:t>he T</w:t>
      </w:r>
      <w:r w:rsidRPr="00B52817">
        <w:rPr>
          <w:rFonts w:ascii="Times New Roman" w:hAnsi="Times New Roman" w:cs="Times New Roman"/>
          <w:b/>
          <w:bCs/>
        </w:rPr>
        <w:t>LP Group</w:t>
      </w:r>
    </w:p>
    <w:p w14:paraId="3C98A4E1" w14:textId="6DD756E3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Numeracy Network</w:t>
      </w:r>
    </w:p>
    <w:p w14:paraId="0A14ED59" w14:textId="1368EDED" w:rsidR="00D56A0C" w:rsidRPr="00EC5D0B" w:rsidRDefault="00D56A0C" w:rsidP="00C956B9">
      <w:pPr>
        <w:spacing w:after="0"/>
        <w:rPr>
          <w:rFonts w:ascii="Times New Roman" w:hAnsi="Times New Roman" w:cs="Times New Roman"/>
          <w:b/>
          <w:bCs/>
        </w:rPr>
      </w:pPr>
      <w:r w:rsidRPr="00EC5D0B">
        <w:rPr>
          <w:rFonts w:ascii="Times New Roman" w:hAnsi="Times New Roman" w:cs="Times New Roman"/>
          <w:b/>
          <w:bCs/>
        </w:rPr>
        <w:t>Literacy Minnesota/Northstar Digital Literacy</w:t>
      </w:r>
    </w:p>
    <w:p w14:paraId="3D040E78" w14:textId="704E63D9" w:rsidR="00D26478" w:rsidRPr="00443DA7" w:rsidRDefault="00D26478" w:rsidP="00C956B9">
      <w:pPr>
        <w:spacing w:after="0"/>
        <w:rPr>
          <w:rFonts w:ascii="Times New Roman" w:hAnsi="Times New Roman" w:cs="Times New Roman"/>
          <w:b/>
          <w:bCs/>
        </w:rPr>
      </w:pPr>
      <w:r w:rsidRPr="00443DA7">
        <w:rPr>
          <w:rFonts w:ascii="Times New Roman" w:hAnsi="Times New Roman" w:cs="Times New Roman"/>
          <w:b/>
          <w:bCs/>
        </w:rPr>
        <w:t>Literacy Assistance Center</w:t>
      </w:r>
    </w:p>
    <w:p w14:paraId="55A04BAE" w14:textId="77777777" w:rsidR="00B52817" w:rsidRDefault="00B52817" w:rsidP="00C956B9">
      <w:pPr>
        <w:spacing w:after="0"/>
        <w:rPr>
          <w:rFonts w:ascii="Times New Roman" w:hAnsi="Times New Roman" w:cs="Times New Roman"/>
        </w:rPr>
      </w:pPr>
    </w:p>
    <w:p w14:paraId="60587F15" w14:textId="4AE223F1" w:rsidR="00C956B9" w:rsidRDefault="00C956B9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Associate Member Renewals</w:t>
      </w:r>
    </w:p>
    <w:p w14:paraId="1AD1DC93" w14:textId="57642F33" w:rsidR="00C956B9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Research Allies for Lifelong Learning</w:t>
      </w:r>
    </w:p>
    <w:p w14:paraId="22C4A780" w14:textId="3F28A115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Migration Policy Institute</w:t>
      </w:r>
    </w:p>
    <w:p w14:paraId="0401DF7A" w14:textId="3F9187FF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Pennsylvania Association for Adult &amp; Continuing Education</w:t>
      </w:r>
    </w:p>
    <w:p w14:paraId="26302F84" w14:textId="5635E861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National Skills Coalition</w:t>
      </w:r>
    </w:p>
    <w:p w14:paraId="1D71C059" w14:textId="10C5437D" w:rsidR="00B52817" w:rsidRPr="00B52817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B52817">
        <w:rPr>
          <w:rFonts w:ascii="Times New Roman" w:hAnsi="Times New Roman" w:cs="Times New Roman"/>
          <w:b/>
          <w:bCs/>
        </w:rPr>
        <w:t>Arkansas Adult Learning Alliance, Inc.</w:t>
      </w:r>
    </w:p>
    <w:p w14:paraId="6AA822BD" w14:textId="090CA269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Mississippi Community College Board</w:t>
      </w:r>
    </w:p>
    <w:p w14:paraId="04F676A6" w14:textId="1CE25D60" w:rsidR="00B52817" w:rsidRPr="00812CEC" w:rsidRDefault="00B52817" w:rsidP="00C956B9">
      <w:pPr>
        <w:spacing w:after="0"/>
        <w:rPr>
          <w:rFonts w:ascii="Times New Roman" w:hAnsi="Times New Roman" w:cs="Times New Roman"/>
          <w:b/>
          <w:bCs/>
        </w:rPr>
      </w:pPr>
      <w:r w:rsidRPr="00812CEC">
        <w:rPr>
          <w:rFonts w:ascii="Times New Roman" w:hAnsi="Times New Roman" w:cs="Times New Roman"/>
          <w:b/>
          <w:bCs/>
        </w:rPr>
        <w:t>Maine Adult Education Association</w:t>
      </w:r>
    </w:p>
    <w:p w14:paraId="219D6CDC" w14:textId="6311FCFD" w:rsidR="00B52817" w:rsidRDefault="00B5281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Adult Literacy Research Center at Georgia State</w:t>
      </w:r>
    </w:p>
    <w:p w14:paraId="27F8589C" w14:textId="77777777" w:rsidR="00B52817" w:rsidRDefault="00B52817" w:rsidP="00C956B9">
      <w:pPr>
        <w:spacing w:after="0"/>
        <w:rPr>
          <w:rFonts w:ascii="Times New Roman" w:hAnsi="Times New Roman" w:cs="Times New Roman"/>
        </w:rPr>
      </w:pPr>
    </w:p>
    <w:p w14:paraId="42E43D07" w14:textId="14A2739A" w:rsidR="00C956B9" w:rsidRDefault="001C3E2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have heard from RTI that they are unable to renew their NCL membership for 2025 because of funding uncertainties and an indefinite freeze on expenditures.</w:t>
      </w:r>
    </w:p>
    <w:p w14:paraId="187FCA35" w14:textId="77777777" w:rsidR="001C3E27" w:rsidRDefault="001C3E27" w:rsidP="00C956B9">
      <w:pPr>
        <w:spacing w:after="0"/>
        <w:rPr>
          <w:rFonts w:ascii="Times New Roman" w:hAnsi="Times New Roman" w:cs="Times New Roman"/>
        </w:rPr>
      </w:pPr>
    </w:p>
    <w:p w14:paraId="4D891952" w14:textId="19032D9F" w:rsidR="001C3E27" w:rsidRDefault="001C3E27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Federico Salas-Isnardi has indicated he has resigned from the Houston Mayor’s Office for Adult Literacy.  He reported that the Houston Mayor’s </w:t>
      </w:r>
      <w:r w:rsidR="00C9253D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ffice may no longer continue their NCL membership because they are going to shift focus to local libraries.  They renewed their </w:t>
      </w:r>
      <w:r>
        <w:rPr>
          <w:rFonts w:ascii="Times New Roman" w:hAnsi="Times New Roman" w:cs="Times New Roman"/>
        </w:rPr>
        <w:lastRenderedPageBreak/>
        <w:t xml:space="preserve">membership by completing the membership renewal form, but haven’t yet paid their dues.  I’ve reached out to the new ‘acting’ director and am awaiting a response as to whether they want to continue their NCL membership.  </w:t>
      </w:r>
    </w:p>
    <w:p w14:paraId="415E2971" w14:textId="77777777" w:rsidR="005B4866" w:rsidRDefault="005B4866" w:rsidP="00C956B9">
      <w:pPr>
        <w:spacing w:after="0"/>
        <w:rPr>
          <w:rFonts w:ascii="Times New Roman" w:hAnsi="Times New Roman" w:cs="Times New Roman"/>
        </w:rPr>
      </w:pPr>
    </w:p>
    <w:p w14:paraId="4D03CB19" w14:textId="0BEAD4CE" w:rsidR="005B4866" w:rsidRDefault="005B4866" w:rsidP="00C956B9">
      <w:pPr>
        <w:spacing w:after="0"/>
        <w:rPr>
          <w:rFonts w:ascii="Times New Roman" w:hAnsi="Times New Roman" w:cs="Times New Roman"/>
        </w:rPr>
      </w:pPr>
      <w:r w:rsidRPr="005B4866">
        <w:rPr>
          <w:rFonts w:ascii="Times New Roman" w:hAnsi="Times New Roman" w:cs="Times New Roman"/>
        </w:rPr>
        <w:t>Philadelphia Office of Children &amp; Families</w:t>
      </w:r>
      <w:r>
        <w:rPr>
          <w:rFonts w:ascii="Times New Roman" w:hAnsi="Times New Roman" w:cs="Times New Roman"/>
        </w:rPr>
        <w:t xml:space="preserve"> has indicated they are unable to renew this year due to a funding freeze that was put in place until July.  They asked to be kept on mailing list in hopes they can renew again next year.</w:t>
      </w:r>
    </w:p>
    <w:p w14:paraId="5652D7F2" w14:textId="77777777" w:rsidR="001C3E27" w:rsidRDefault="001C3E27" w:rsidP="00C956B9">
      <w:pPr>
        <w:spacing w:after="0"/>
        <w:rPr>
          <w:rFonts w:ascii="Times New Roman" w:hAnsi="Times New Roman" w:cs="Times New Roman"/>
        </w:rPr>
      </w:pPr>
    </w:p>
    <w:p w14:paraId="26EBAE20" w14:textId="1AAD8F1F" w:rsidR="001C3E27" w:rsidRPr="008D6146" w:rsidRDefault="008D6146" w:rsidP="00C956B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Past member o</w:t>
      </w:r>
      <w:r w:rsidR="009D2B51" w:rsidRPr="008D6146">
        <w:rPr>
          <w:rFonts w:ascii="Times New Roman" w:hAnsi="Times New Roman" w:cs="Times New Roman"/>
          <w:b/>
          <w:bCs/>
        </w:rPr>
        <w:t xml:space="preserve">rganizations who </w:t>
      </w:r>
      <w:r>
        <w:rPr>
          <w:rFonts w:ascii="Times New Roman" w:hAnsi="Times New Roman" w:cs="Times New Roman"/>
          <w:b/>
          <w:bCs/>
        </w:rPr>
        <w:t xml:space="preserve">have not </w:t>
      </w:r>
      <w:r w:rsidR="009D2B51" w:rsidRPr="008D6146">
        <w:rPr>
          <w:rFonts w:ascii="Times New Roman" w:hAnsi="Times New Roman" w:cs="Times New Roman"/>
          <w:b/>
          <w:bCs/>
        </w:rPr>
        <w:t>yet renewed their membership:</w:t>
      </w:r>
    </w:p>
    <w:p w14:paraId="210E526C" w14:textId="77777777" w:rsidR="008D6146" w:rsidRPr="008D6146" w:rsidRDefault="008D6146" w:rsidP="008D6146">
      <w:pPr>
        <w:spacing w:after="0"/>
        <w:rPr>
          <w:rFonts w:ascii="Times New Roman" w:hAnsi="Times New Roman" w:cs="Times New Roman"/>
        </w:rPr>
      </w:pPr>
    </w:p>
    <w:p w14:paraId="1492CFA8" w14:textId="75C85268" w:rsidR="009D2B51" w:rsidRPr="009D2B51" w:rsidRDefault="009D2B51" w:rsidP="008D614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Full</w:t>
      </w:r>
    </w:p>
    <w:p w14:paraId="49A47536" w14:textId="70C0192D" w:rsidR="009D2B51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Jobs for the Future</w:t>
      </w:r>
    </w:p>
    <w:p w14:paraId="765F8B28" w14:textId="134F6151" w:rsidR="00AD3379" w:rsidRPr="008D6146" w:rsidRDefault="00AD3379" w:rsidP="008D614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World Education</w:t>
      </w:r>
    </w:p>
    <w:p w14:paraId="52CB1602" w14:textId="4A6770A7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WestEd</w:t>
      </w:r>
    </w:p>
    <w:p w14:paraId="6F2C46DB" w14:textId="77777777" w:rsidR="009D2B51" w:rsidRPr="009D2B51" w:rsidRDefault="009D2B51" w:rsidP="008D6146">
      <w:pPr>
        <w:spacing w:after="0"/>
        <w:rPr>
          <w:rFonts w:ascii="Times New Roman" w:hAnsi="Times New Roman" w:cs="Times New Roman"/>
        </w:rPr>
      </w:pPr>
    </w:p>
    <w:p w14:paraId="6B8AC3D0" w14:textId="434CE38F" w:rsidR="001C3E27" w:rsidRDefault="009D2B51" w:rsidP="008D6146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Associate</w:t>
      </w:r>
    </w:p>
    <w:p w14:paraId="041B68B3" w14:textId="452F09F4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Alabama Association for Public, Continuing and Adult Education</w:t>
      </w:r>
    </w:p>
    <w:p w14:paraId="141156FB" w14:textId="45F380C9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AIR</w:t>
      </w:r>
    </w:p>
    <w:p w14:paraId="0A6F16F0" w14:textId="3B5C7F52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Arizona Association for Lifelong Learning</w:t>
      </w:r>
    </w:p>
    <w:p w14:paraId="5212803B" w14:textId="3A8C97AA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AALPD</w:t>
      </w:r>
    </w:p>
    <w:p w14:paraId="16E8E21E" w14:textId="734B7F77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Delaware Division of Libraries</w:t>
      </w:r>
    </w:p>
    <w:p w14:paraId="0D5487F0" w14:textId="1CE18976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GED Testing Service</w:t>
      </w:r>
    </w:p>
    <w:p w14:paraId="5F30DDE5" w14:textId="7CD23B6D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Greenville Literacy Association</w:t>
      </w:r>
    </w:p>
    <w:p w14:paraId="0795A650" w14:textId="594E1713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Maryland Association for Adult &amp; Continuing Education</w:t>
      </w:r>
    </w:p>
    <w:p w14:paraId="34E1492F" w14:textId="5F74693A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NASDAE</w:t>
      </w:r>
    </w:p>
    <w:p w14:paraId="5362B8DB" w14:textId="13405F60" w:rsidR="009D2B51" w:rsidRPr="008D6146" w:rsidRDefault="009D2B51" w:rsidP="008D6146">
      <w:pPr>
        <w:spacing w:after="0"/>
        <w:rPr>
          <w:rFonts w:ascii="Times New Roman" w:hAnsi="Times New Roman" w:cs="Times New Roman"/>
        </w:rPr>
      </w:pPr>
      <w:r w:rsidRPr="008D6146">
        <w:rPr>
          <w:rFonts w:ascii="Times New Roman" w:hAnsi="Times New Roman" w:cs="Times New Roman"/>
        </w:rPr>
        <w:t>ScaleLit (Chicago Literacy Coalition)</w:t>
      </w:r>
    </w:p>
    <w:p w14:paraId="0BE2167D" w14:textId="77777777" w:rsidR="009D2B51" w:rsidRDefault="009D2B51" w:rsidP="008D6146">
      <w:pPr>
        <w:spacing w:after="0"/>
        <w:rPr>
          <w:rFonts w:ascii="Times New Roman" w:hAnsi="Times New Roman" w:cs="Times New Roman"/>
        </w:rPr>
      </w:pPr>
    </w:p>
    <w:p w14:paraId="4AD6F94E" w14:textId="094BD5E0" w:rsidR="009D2B51" w:rsidRDefault="000232CB" w:rsidP="008D6146">
      <w:pPr>
        <w:spacing w:after="0"/>
        <w:rPr>
          <w:rFonts w:ascii="Times New Roman" w:hAnsi="Times New Roman" w:cs="Times New Roman"/>
          <w:b/>
          <w:bCs/>
        </w:rPr>
      </w:pPr>
      <w:r w:rsidRPr="000232CB">
        <w:rPr>
          <w:rFonts w:ascii="Times New Roman" w:hAnsi="Times New Roman" w:cs="Times New Roman"/>
          <w:b/>
          <w:bCs/>
        </w:rPr>
        <w:t xml:space="preserve">QUESTION:  </w:t>
      </w:r>
      <w:r w:rsidRPr="000232CB">
        <w:rPr>
          <w:rFonts w:ascii="Times New Roman" w:hAnsi="Times New Roman" w:cs="Times New Roman"/>
          <w:b/>
          <w:bCs/>
        </w:rPr>
        <w:t>As NCL embarks on developing a current strategic plan to chart a new path forward, what are your initial thoughts on how NCL can best support the field of adult education and literacy and its members?</w:t>
      </w:r>
    </w:p>
    <w:p w14:paraId="0BE5701E" w14:textId="77777777" w:rsidR="000232CB" w:rsidRDefault="000232CB" w:rsidP="008D6146">
      <w:pPr>
        <w:spacing w:after="0"/>
        <w:rPr>
          <w:rFonts w:ascii="Times New Roman" w:hAnsi="Times New Roman" w:cs="Times New Roman"/>
          <w:b/>
          <w:bCs/>
        </w:rPr>
      </w:pPr>
    </w:p>
    <w:p w14:paraId="46E0A277" w14:textId="572B405E" w:rsidR="000232CB" w:rsidRDefault="000232CB" w:rsidP="000232CB">
      <w:pPr>
        <w:spacing w:after="0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Responses:</w:t>
      </w:r>
    </w:p>
    <w:p w14:paraId="116E9CD0" w14:textId="49B36316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By all members working together collaboratively to brainstorm the best path(s) forward</w:t>
      </w:r>
      <w:r w:rsidRPr="000232CB">
        <w:rPr>
          <w:rFonts w:ascii="Times New Roman" w:hAnsi="Times New Roman" w:cs="Times New Roman"/>
        </w:rPr>
        <w:t>.</w:t>
      </w:r>
    </w:p>
    <w:p w14:paraId="76EC9C3B" w14:textId="6F6B236D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Continue with the great work already being done.</w:t>
      </w:r>
    </w:p>
    <w:p w14:paraId="7F8C700B" w14:textId="1F27A28B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NCL should continue to be a facilitator and convener of policy conversations regarding the adult education and family literacy landscape. This includes helping to coordinate with aligned ALL IN efforts.</w:t>
      </w:r>
    </w:p>
    <w:p w14:paraId="07C08F06" w14:textId="6FA4B44E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Being the voice of adult education to policy makers.</w:t>
      </w:r>
    </w:p>
    <w:p w14:paraId="26D40D78" w14:textId="3643C456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lastRenderedPageBreak/>
        <w:t>We like what you do.  Will you be sending us a bill for this?  I will need an invoice to pay it and it has gone up substantially so I will need to get board approval to pay it.  Thank you.</w:t>
      </w:r>
    </w:p>
    <w:p w14:paraId="242CC6A1" w14:textId="53FBEF15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Providing regular updates on the state of the field, actionable steps we can take to address issues, and opportunities for collaboration in our work</w:t>
      </w:r>
      <w:r w:rsidRPr="000232CB">
        <w:rPr>
          <w:rFonts w:ascii="Times New Roman" w:hAnsi="Times New Roman" w:cs="Times New Roman"/>
        </w:rPr>
        <w:t>.</w:t>
      </w:r>
    </w:p>
    <w:p w14:paraId="11EA4D2E" w14:textId="4A958160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Support greater alignment and amplification of collective programmatic and policy efforts to advance the field, working together with ALL IN and other members.</w:t>
      </w:r>
    </w:p>
    <w:p w14:paraId="2D3B372A" w14:textId="482A16F7" w:rsidR="000232CB" w:rsidRPr="000232CB" w:rsidRDefault="000232CB" w:rsidP="000232CB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232CB">
        <w:rPr>
          <w:rFonts w:ascii="Times New Roman" w:hAnsi="Times New Roman" w:cs="Times New Roman"/>
        </w:rPr>
        <w:t>Helping coordinate advocacy efforts so that more people will understand that low literacy impacts every aspect of our lives (e.g., health, financial well-being, workforce preparedness, children's success, etc.)  We need a consistent voice and message.</w:t>
      </w:r>
    </w:p>
    <w:p w14:paraId="07F2A63E" w14:textId="77777777" w:rsidR="000232CB" w:rsidRPr="000232CB" w:rsidRDefault="000232CB" w:rsidP="008D6146">
      <w:pPr>
        <w:spacing w:after="0"/>
        <w:rPr>
          <w:rFonts w:ascii="Times New Roman" w:hAnsi="Times New Roman" w:cs="Times New Roman"/>
        </w:rPr>
      </w:pPr>
    </w:p>
    <w:sectPr w:rsidR="000232CB" w:rsidRPr="00023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970"/>
    <w:multiLevelType w:val="hybridMultilevel"/>
    <w:tmpl w:val="724AD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84374"/>
    <w:multiLevelType w:val="hybridMultilevel"/>
    <w:tmpl w:val="EC62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53B34"/>
    <w:multiLevelType w:val="hybridMultilevel"/>
    <w:tmpl w:val="D2EAF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3281F"/>
    <w:multiLevelType w:val="hybridMultilevel"/>
    <w:tmpl w:val="CE205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25AD6"/>
    <w:multiLevelType w:val="hybridMultilevel"/>
    <w:tmpl w:val="F5823A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3820080">
    <w:abstractNumId w:val="4"/>
  </w:num>
  <w:num w:numId="2" w16cid:durableId="1621261908">
    <w:abstractNumId w:val="3"/>
  </w:num>
  <w:num w:numId="3" w16cid:durableId="1528833143">
    <w:abstractNumId w:val="2"/>
  </w:num>
  <w:num w:numId="4" w16cid:durableId="205725697">
    <w:abstractNumId w:val="0"/>
  </w:num>
  <w:num w:numId="5" w16cid:durableId="1030883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5E1"/>
    <w:rsid w:val="000232CB"/>
    <w:rsid w:val="000B35E1"/>
    <w:rsid w:val="00101B10"/>
    <w:rsid w:val="001C3E27"/>
    <w:rsid w:val="00443DA7"/>
    <w:rsid w:val="005B4866"/>
    <w:rsid w:val="00743ED1"/>
    <w:rsid w:val="00812CEC"/>
    <w:rsid w:val="0088760B"/>
    <w:rsid w:val="008D6146"/>
    <w:rsid w:val="009D2B51"/>
    <w:rsid w:val="00AD3379"/>
    <w:rsid w:val="00B2289A"/>
    <w:rsid w:val="00B52817"/>
    <w:rsid w:val="00C9253D"/>
    <w:rsid w:val="00C956B9"/>
    <w:rsid w:val="00D26478"/>
    <w:rsid w:val="00D56A0C"/>
    <w:rsid w:val="00EC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4BAA2"/>
  <w15:chartTrackingRefBased/>
  <w15:docId w15:val="{9E8D6BFA-493A-40AF-9C71-90A941E4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5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5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5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5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5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5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5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5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5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5E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5E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5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5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5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5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5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5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5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5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5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5E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5E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4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3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Fantine</dc:creator>
  <cp:keywords/>
  <dc:description/>
  <cp:lastModifiedBy>Jeff Fantine</cp:lastModifiedBy>
  <cp:revision>24</cp:revision>
  <dcterms:created xsi:type="dcterms:W3CDTF">2025-03-11T13:29:00Z</dcterms:created>
  <dcterms:modified xsi:type="dcterms:W3CDTF">2025-03-11T20:30:00Z</dcterms:modified>
</cp:coreProperties>
</file>